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2FD8" w14:textId="77777777" w:rsidR="00805D97" w:rsidRPr="00BC3CBD" w:rsidRDefault="00805D97" w:rsidP="00BC3CBD">
      <w:pPr>
        <w:spacing w:after="0"/>
        <w:jc w:val="center"/>
        <w:rPr>
          <w:rFonts w:cstheme="minorHAnsi"/>
          <w:b/>
          <w:bCs/>
          <w:sz w:val="32"/>
          <w:szCs w:val="32"/>
        </w:rPr>
      </w:pPr>
    </w:p>
    <w:p w14:paraId="50446FE5" w14:textId="6C857DA7" w:rsidR="00D00AAE" w:rsidRPr="00BC3CBD" w:rsidRDefault="00D00AAE" w:rsidP="00D00AAE">
      <w:pPr>
        <w:spacing w:after="0"/>
        <w:jc w:val="center"/>
        <w:rPr>
          <w:rFonts w:cstheme="minorHAnsi"/>
          <w:b/>
          <w:bCs/>
          <w:sz w:val="32"/>
          <w:szCs w:val="32"/>
        </w:rPr>
      </w:pPr>
      <w:r w:rsidRPr="00D00AAE">
        <w:rPr>
          <w:rFonts w:cstheme="minorHAnsi"/>
          <w:b/>
          <w:bCs/>
          <w:sz w:val="32"/>
          <w:szCs w:val="32"/>
        </w:rPr>
        <w:t>Project Selection for Construction Businesses in Indonesia Using AHP: A Case of CV. Maezurra Indotama</w:t>
      </w:r>
    </w:p>
    <w:p w14:paraId="1E11DAC3" w14:textId="77777777" w:rsidR="006C4CCC" w:rsidRPr="00BC3CBD" w:rsidRDefault="006C4CCC" w:rsidP="00BC3CBD">
      <w:pPr>
        <w:pStyle w:val="NoSpacing"/>
        <w:jc w:val="center"/>
        <w:rPr>
          <w:rFonts w:cstheme="minorHAnsi"/>
          <w:lang w:val="en-US"/>
        </w:rPr>
      </w:pPr>
    </w:p>
    <w:p w14:paraId="3FB22182" w14:textId="689009BD" w:rsidR="00781EDF" w:rsidRPr="00BC3CBD" w:rsidRDefault="00197F3C" w:rsidP="00BC3CBD">
      <w:pPr>
        <w:pStyle w:val="NoSpacing"/>
        <w:jc w:val="center"/>
        <w:rPr>
          <w:rFonts w:cstheme="minorHAnsi"/>
          <w:szCs w:val="24"/>
          <w:vertAlign w:val="superscript"/>
        </w:rPr>
      </w:pPr>
      <w:r w:rsidRPr="00BC3CBD">
        <w:rPr>
          <w:rFonts w:cstheme="minorHAnsi"/>
          <w:lang w:val="en-US"/>
        </w:rPr>
        <w:t>Shafa Dwidiva Maharani</w:t>
      </w:r>
      <w:r w:rsidR="00781EDF" w:rsidRPr="00BC3CBD">
        <w:rPr>
          <w:rFonts w:cstheme="minorHAnsi"/>
          <w:vertAlign w:val="superscript"/>
        </w:rPr>
        <w:t>1</w:t>
      </w:r>
      <w:r w:rsidR="00712ED5">
        <w:rPr>
          <w:rFonts w:cstheme="minorHAnsi"/>
          <w:vertAlign w:val="superscript"/>
        </w:rPr>
        <w:t>*</w:t>
      </w:r>
      <w:r w:rsidR="00781EDF" w:rsidRPr="00BC3CBD">
        <w:rPr>
          <w:rFonts w:cstheme="minorHAnsi"/>
          <w:szCs w:val="24"/>
          <w:lang w:val="en-US"/>
        </w:rPr>
        <w:t xml:space="preserve">, </w:t>
      </w:r>
      <w:r w:rsidRPr="00BC3CBD">
        <w:rPr>
          <w:rFonts w:cstheme="minorHAnsi"/>
          <w:szCs w:val="24"/>
          <w:lang w:val="en-US"/>
        </w:rPr>
        <w:t>Manahan Parlindungan Saragih Siallagan</w:t>
      </w:r>
      <w:r w:rsidR="00781EDF" w:rsidRPr="00BC3CBD">
        <w:rPr>
          <w:rFonts w:cstheme="minorHAnsi"/>
          <w:vertAlign w:val="superscript"/>
        </w:rPr>
        <w:t>2</w:t>
      </w:r>
    </w:p>
    <w:p w14:paraId="2FBC5C68" w14:textId="77777777" w:rsidR="00781EDF" w:rsidRPr="00BC3CBD" w:rsidRDefault="00781EDF" w:rsidP="00BC3CBD">
      <w:pPr>
        <w:pStyle w:val="NoSpacing"/>
        <w:jc w:val="center"/>
        <w:rPr>
          <w:rFonts w:cstheme="minorHAnsi"/>
        </w:rPr>
      </w:pPr>
    </w:p>
    <w:p w14:paraId="6831D600" w14:textId="624B1AE3" w:rsidR="00781EDF" w:rsidRPr="00BC3CBD" w:rsidRDefault="00781EDF" w:rsidP="00BC3CBD">
      <w:pPr>
        <w:pStyle w:val="NoSpacing"/>
        <w:jc w:val="center"/>
        <w:rPr>
          <w:rFonts w:cstheme="minorHAnsi"/>
          <w:lang w:val="en-US"/>
        </w:rPr>
      </w:pPr>
      <w:r w:rsidRPr="00BC3CBD">
        <w:rPr>
          <w:rFonts w:cstheme="minorHAnsi"/>
          <w:vertAlign w:val="superscript"/>
          <w:lang w:val="en-US"/>
        </w:rPr>
        <w:t>1</w:t>
      </w:r>
      <w:r w:rsidR="00F9288A">
        <w:rPr>
          <w:rFonts w:cstheme="minorHAnsi"/>
          <w:vertAlign w:val="superscript"/>
          <w:lang w:val="en-US"/>
        </w:rPr>
        <w:t>*</w:t>
      </w:r>
      <w:r w:rsidRPr="00BC3CBD">
        <w:rPr>
          <w:rFonts w:cstheme="minorHAnsi"/>
          <w:vertAlign w:val="superscript"/>
          <w:lang w:val="en-US"/>
        </w:rPr>
        <w:t xml:space="preserve">,2 </w:t>
      </w:r>
      <w:r w:rsidR="00197F3C" w:rsidRPr="00BC3CBD">
        <w:rPr>
          <w:rFonts w:cstheme="minorHAnsi"/>
        </w:rPr>
        <w:t>S</w:t>
      </w:r>
      <w:r w:rsidR="0036525D" w:rsidRPr="00BC3CBD">
        <w:rPr>
          <w:rFonts w:cstheme="minorHAnsi"/>
        </w:rPr>
        <w:t>chool of Business and Management</w:t>
      </w:r>
      <w:r w:rsidR="00197F3C" w:rsidRPr="00BC3CBD">
        <w:rPr>
          <w:rFonts w:cstheme="minorHAnsi"/>
        </w:rPr>
        <w:t>, Institut Teknologi Bandung, Indonesia</w:t>
      </w:r>
    </w:p>
    <w:p w14:paraId="1C1E59EB" w14:textId="77777777" w:rsidR="00781EDF" w:rsidRPr="00BC3CBD" w:rsidRDefault="00781EDF" w:rsidP="00BC3CBD">
      <w:pPr>
        <w:pStyle w:val="NoSpacing"/>
        <w:jc w:val="center"/>
        <w:rPr>
          <w:rFonts w:cstheme="minorHAnsi"/>
          <w:i/>
          <w:iCs/>
          <w:lang w:val="en-US"/>
        </w:rPr>
      </w:pPr>
    </w:p>
    <w:p w14:paraId="536C3E7F" w14:textId="76537491" w:rsidR="00781EDF" w:rsidRPr="00BC3CBD" w:rsidRDefault="00805D97" w:rsidP="00BC3CBD">
      <w:pPr>
        <w:pStyle w:val="NoSpacing"/>
        <w:jc w:val="center"/>
        <w:rPr>
          <w:rStyle w:val="hps"/>
          <w:rFonts w:cstheme="minorHAnsi"/>
          <w:szCs w:val="24"/>
          <w:vertAlign w:val="superscript"/>
          <w:lang w:val="en-US"/>
        </w:rPr>
      </w:pPr>
      <w:r w:rsidRPr="00BC3CBD">
        <w:rPr>
          <w:rFonts w:cstheme="minorHAnsi"/>
          <w:i/>
          <w:iCs/>
          <w:lang w:val="en-US"/>
        </w:rPr>
        <w:t>Corresponding Author</w:t>
      </w:r>
      <w:r w:rsidR="00197F3C" w:rsidRPr="00BC3CBD">
        <w:rPr>
          <w:rFonts w:cstheme="minorHAnsi"/>
          <w:i/>
          <w:iCs/>
          <w:lang w:val="en-US"/>
        </w:rPr>
        <w:t xml:space="preserve">: </w:t>
      </w:r>
      <w:r w:rsidR="00AB065E" w:rsidRPr="00BC3CBD">
        <w:rPr>
          <w:rFonts w:cstheme="minorHAnsi"/>
          <w:i/>
          <w:iCs/>
          <w:lang w:val="en-US"/>
        </w:rPr>
        <w:t>s</w:t>
      </w:r>
      <w:r w:rsidR="00197F3C" w:rsidRPr="00BC3CBD">
        <w:rPr>
          <w:rFonts w:cstheme="minorHAnsi"/>
          <w:i/>
          <w:iCs/>
          <w:lang w:val="en-US"/>
        </w:rPr>
        <w:t>hafa_dwidiva@sbm-itb.ac.id</w:t>
      </w:r>
      <w:r w:rsidR="00781EDF" w:rsidRPr="00BC3CBD">
        <w:rPr>
          <w:rStyle w:val="hps"/>
          <w:rFonts w:cstheme="minorHAnsi"/>
          <w:vertAlign w:val="superscript"/>
        </w:rPr>
        <w:t>1</w:t>
      </w:r>
      <w:r w:rsidR="00F9288A">
        <w:rPr>
          <w:rStyle w:val="hps"/>
          <w:rFonts w:cstheme="minorHAnsi"/>
          <w:vertAlign w:val="superscript"/>
        </w:rPr>
        <w:t>*</w:t>
      </w:r>
      <w:r w:rsidR="00781EDF" w:rsidRPr="00BC3CBD">
        <w:rPr>
          <w:rStyle w:val="hps"/>
          <w:rFonts w:cstheme="minorHAnsi"/>
          <w:szCs w:val="24"/>
          <w:vertAlign w:val="superscript"/>
          <w:lang w:val="en-US"/>
        </w:rPr>
        <w:t>)</w:t>
      </w:r>
    </w:p>
    <w:p w14:paraId="595A135A" w14:textId="77777777" w:rsidR="00781EDF" w:rsidRPr="00BC3CBD" w:rsidRDefault="00781EDF" w:rsidP="00BC3CBD">
      <w:pPr>
        <w:spacing w:after="0" w:line="240" w:lineRule="auto"/>
        <w:rPr>
          <w:rFonts w:cstheme="minorHAnsi"/>
          <w:sz w:val="24"/>
          <w:szCs w:val="24"/>
        </w:rPr>
      </w:pPr>
    </w:p>
    <w:tbl>
      <w:tblPr>
        <w:tblW w:w="7513" w:type="dxa"/>
        <w:tblInd w:w="709" w:type="dxa"/>
        <w:tblBorders>
          <w:top w:val="single" w:sz="4" w:space="0" w:color="auto"/>
          <w:bottom w:val="single" w:sz="4" w:space="0" w:color="auto"/>
        </w:tblBorders>
        <w:tblLook w:val="04A0" w:firstRow="1" w:lastRow="0" w:firstColumn="1" w:lastColumn="0" w:noHBand="0" w:noVBand="1"/>
      </w:tblPr>
      <w:tblGrid>
        <w:gridCol w:w="3578"/>
        <w:gridCol w:w="3935"/>
      </w:tblGrid>
      <w:tr w:rsidR="00781EDF" w:rsidRPr="00BC3CBD" w14:paraId="63DE0969" w14:textId="77777777" w:rsidTr="00F9288A">
        <w:tc>
          <w:tcPr>
            <w:tcW w:w="3578" w:type="dxa"/>
            <w:shd w:val="clear" w:color="auto" w:fill="auto"/>
          </w:tcPr>
          <w:p w14:paraId="6FA540FA" w14:textId="57FF4690" w:rsidR="00781EDF" w:rsidRPr="00BC3CBD" w:rsidRDefault="00781EDF" w:rsidP="00BC3CBD">
            <w:pPr>
              <w:spacing w:after="0"/>
              <w:ind w:right="362"/>
              <w:rPr>
                <w:rFonts w:cstheme="minorHAnsi"/>
                <w:b/>
                <w:szCs w:val="24"/>
              </w:rPr>
            </w:pPr>
            <w:r w:rsidRPr="00BC3CBD">
              <w:rPr>
                <w:rFonts w:cstheme="minorHAnsi"/>
                <w:b/>
                <w:i/>
                <w:iCs/>
                <w:szCs w:val="24"/>
              </w:rPr>
              <w:t xml:space="preserve">Keywords </w:t>
            </w:r>
            <w:r w:rsidRPr="00BC3CBD">
              <w:rPr>
                <w:rFonts w:cstheme="minorHAnsi"/>
                <w:b/>
                <w:szCs w:val="24"/>
              </w:rPr>
              <w:t xml:space="preserve">: </w:t>
            </w:r>
            <w:r w:rsidR="001E3FAB" w:rsidRPr="00F9288A">
              <w:rPr>
                <w:rFonts w:cstheme="minorHAnsi"/>
                <w:bCs/>
                <w:i/>
                <w:iCs/>
                <w:szCs w:val="24"/>
              </w:rPr>
              <w:t>Analytical Hierarchy Process (AHP), Project Selection, Construction Sector Challenges</w:t>
            </w:r>
          </w:p>
        </w:tc>
        <w:tc>
          <w:tcPr>
            <w:tcW w:w="3935" w:type="dxa"/>
            <w:shd w:val="clear" w:color="auto" w:fill="auto"/>
          </w:tcPr>
          <w:p w14:paraId="31BABC7E" w14:textId="5D3847A4" w:rsidR="00781EDF" w:rsidRPr="00CA6FA0" w:rsidRDefault="00781EDF" w:rsidP="00BC3CBD">
            <w:pPr>
              <w:pStyle w:val="HTMLPreformatted"/>
              <w:jc w:val="both"/>
              <w:rPr>
                <w:rFonts w:asciiTheme="minorHAnsi" w:hAnsiTheme="minorHAnsi" w:cstheme="minorHAnsi"/>
                <w:i/>
                <w:iCs/>
                <w:lang w:val="id-ID"/>
              </w:rPr>
            </w:pPr>
            <w:r w:rsidRPr="00BC3CBD">
              <w:rPr>
                <w:rFonts w:asciiTheme="minorHAnsi" w:hAnsiTheme="minorHAnsi" w:cstheme="minorHAnsi"/>
                <w:i/>
                <w:iCs/>
                <w:lang w:val="en-GB"/>
              </w:rPr>
              <w:t xml:space="preserve">Abstract: </w:t>
            </w:r>
            <w:r w:rsidR="00335B70" w:rsidRPr="00335B70">
              <w:rPr>
                <w:rFonts w:asciiTheme="minorHAnsi" w:hAnsiTheme="minorHAnsi" w:cstheme="minorHAnsi"/>
                <w:i/>
                <w:iCs/>
                <w:lang w:val="id-ID"/>
              </w:rPr>
              <w:t xml:space="preserve">The construction industry is the backbone of Indonesia's economy but needs operational inefficiencies like slow payment processes and a complicated bureaucratic structure. The research applies AHP to analyze the project selection criteria of small firms in the particular case of CV. Maezurra Indotama. Key decision criteria were identified through expert interviews and pairwise comparisons contract management, fund security, and schedule management. The findings indicate the high importance of contract review periods at 42.2%, client's fund availability at 47.0 %, and payment scheduling at 29.1%. The School Renovation Project came out as the most preferred option, aligned with the strategic focus. Suggestions and the way forward include enhancement of contract management through standard templates, preparation of adequate funds, and setting reasonable timelines. </w:t>
            </w:r>
            <w:r w:rsidR="00CA6FA0" w:rsidRPr="00CA6FA0">
              <w:rPr>
                <w:rFonts w:asciiTheme="minorHAnsi" w:hAnsiTheme="minorHAnsi" w:cstheme="minorHAnsi"/>
                <w:i/>
                <w:iCs/>
                <w:lang w:val="id-ID"/>
              </w:rPr>
              <w:t>With these attributes in place, competitive growth of the construction sector will be achieved.</w:t>
            </w:r>
          </w:p>
        </w:tc>
      </w:tr>
    </w:tbl>
    <w:p w14:paraId="16DD8B58" w14:textId="77777777" w:rsidR="00DD6268" w:rsidRPr="00BC3CBD" w:rsidRDefault="00DD6268" w:rsidP="00BC3CBD">
      <w:pPr>
        <w:spacing w:after="0"/>
        <w:jc w:val="both"/>
        <w:rPr>
          <w:rFonts w:cstheme="minorHAnsi"/>
        </w:rPr>
      </w:pPr>
    </w:p>
    <w:p w14:paraId="02895145" w14:textId="77777777" w:rsidR="00805D97" w:rsidRPr="00BC3CBD" w:rsidRDefault="00805D97" w:rsidP="00BC3CBD">
      <w:pPr>
        <w:spacing w:after="0"/>
        <w:rPr>
          <w:rFonts w:cstheme="minorHAnsi"/>
          <w:b/>
          <w:sz w:val="24"/>
          <w:szCs w:val="24"/>
        </w:rPr>
      </w:pPr>
      <w:r w:rsidRPr="00BC3CBD">
        <w:rPr>
          <w:rFonts w:cstheme="minorHAnsi"/>
          <w:b/>
          <w:sz w:val="24"/>
          <w:szCs w:val="24"/>
        </w:rPr>
        <w:br w:type="page"/>
      </w:r>
    </w:p>
    <w:p w14:paraId="21276FBF" w14:textId="4DD1BE96" w:rsidR="00781EDF" w:rsidRPr="00BC3CBD" w:rsidRDefault="00781EDF" w:rsidP="00BC3CBD">
      <w:pPr>
        <w:spacing w:after="0" w:line="276" w:lineRule="auto"/>
        <w:jc w:val="both"/>
        <w:rPr>
          <w:rFonts w:cstheme="minorHAnsi"/>
          <w:b/>
          <w:sz w:val="24"/>
          <w:szCs w:val="24"/>
        </w:rPr>
      </w:pPr>
      <w:r w:rsidRPr="00BC3CBD">
        <w:rPr>
          <w:rFonts w:cstheme="minorHAnsi"/>
          <w:b/>
          <w:sz w:val="24"/>
          <w:szCs w:val="24"/>
        </w:rPr>
        <w:lastRenderedPageBreak/>
        <w:t>Introduction</w:t>
      </w:r>
    </w:p>
    <w:p w14:paraId="1C5351EB" w14:textId="77719EDB" w:rsidR="00197F3C" w:rsidRPr="00BC3CBD" w:rsidRDefault="00197F3C" w:rsidP="00BC3CBD">
      <w:pPr>
        <w:spacing w:after="0" w:line="276" w:lineRule="auto"/>
        <w:ind w:firstLine="567"/>
        <w:jc w:val="both"/>
        <w:rPr>
          <w:rFonts w:cstheme="minorHAnsi"/>
          <w:sz w:val="24"/>
          <w:szCs w:val="24"/>
        </w:rPr>
      </w:pPr>
      <w:r w:rsidRPr="00BC3CBD">
        <w:rPr>
          <w:rFonts w:cstheme="minorHAnsi"/>
          <w:sz w:val="24"/>
          <w:szCs w:val="24"/>
        </w:rPr>
        <w:t xml:space="preserve">Contributions from various business sectors support economic growth in Indonesia. The construction sector is one of the business sectors that provides the fourth most significant contribution. According to data from  </w:t>
      </w:r>
      <w:r w:rsidRPr="00BC3CBD">
        <w:rPr>
          <w:rFonts w:cstheme="minorHAnsi"/>
          <w:i/>
          <w:iCs/>
          <w:sz w:val="24"/>
          <w:szCs w:val="24"/>
        </w:rPr>
        <w:t>Badan Pusat Statistik</w:t>
      </w:r>
      <w:r w:rsidRPr="00BC3CBD">
        <w:rPr>
          <w:rFonts w:cstheme="minorHAnsi"/>
          <w:sz w:val="24"/>
          <w:szCs w:val="24"/>
        </w:rPr>
        <w:t xml:space="preserve">  (BPS)  Indonesia, in the first quarter of 2024, the construction sector in Indonesia contributed 10.23% to the Gross Domestic Product (GDP). Previously, in 2023, the construction sector contributed 9.92% to Gross Domestic Product (GDP). This growth shows that the construction sector in Indonesia has a positive trend from year to year.</w:t>
      </w:r>
    </w:p>
    <w:p w14:paraId="137EBD1D" w14:textId="77777777" w:rsidR="00197F3C" w:rsidRPr="00BC3CBD" w:rsidRDefault="00197F3C" w:rsidP="00BC3CBD">
      <w:pPr>
        <w:spacing w:after="0" w:line="276" w:lineRule="auto"/>
        <w:ind w:firstLine="567"/>
        <w:jc w:val="center"/>
        <w:rPr>
          <w:rFonts w:cstheme="minorHAnsi"/>
          <w:sz w:val="24"/>
          <w:szCs w:val="24"/>
        </w:rPr>
      </w:pPr>
      <w:r w:rsidRPr="00BC3CBD">
        <w:rPr>
          <w:rFonts w:cstheme="minorHAnsi"/>
          <w:noProof/>
        </w:rPr>
        <w:drawing>
          <wp:inline distT="0" distB="0" distL="0" distR="0" wp14:anchorId="2A6FD640" wp14:editId="7456A085">
            <wp:extent cx="3802732" cy="2209045"/>
            <wp:effectExtent l="0" t="0" r="7620" b="1270"/>
            <wp:docPr id="772522484" name="Chart 1">
              <a:extLst xmlns:a="http://schemas.openxmlformats.org/drawingml/2006/main">
                <a:ext uri="{FF2B5EF4-FFF2-40B4-BE49-F238E27FC236}">
                  <a16:creationId xmlns:a16="http://schemas.microsoft.com/office/drawing/2014/main" id="{8BD06D19-11E6-D991-EB8C-2E9E2D1A3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BECF66" w14:textId="3D3FE2C1" w:rsidR="00197F3C" w:rsidRPr="00F9288A" w:rsidRDefault="00197F3C" w:rsidP="00BC3CBD">
      <w:pPr>
        <w:spacing w:after="0" w:line="240" w:lineRule="auto"/>
        <w:ind w:firstLine="567"/>
        <w:jc w:val="center"/>
        <w:rPr>
          <w:rFonts w:cstheme="minorHAnsi"/>
          <w:sz w:val="20"/>
          <w:szCs w:val="20"/>
        </w:rPr>
      </w:pPr>
      <w:r w:rsidRPr="00F9288A">
        <w:rPr>
          <w:rFonts w:cstheme="minorHAnsi"/>
          <w:sz w:val="20"/>
          <w:szCs w:val="20"/>
        </w:rPr>
        <w:t>Figure 1. Distribution and Growth of GDP by Field of Business</w:t>
      </w:r>
    </w:p>
    <w:p w14:paraId="0E671E96" w14:textId="0AFBF85D" w:rsidR="004C0D97" w:rsidRPr="00BC3CBD" w:rsidRDefault="004C0D97" w:rsidP="00BC3CBD">
      <w:pPr>
        <w:spacing w:after="0" w:line="240" w:lineRule="auto"/>
        <w:ind w:firstLine="567"/>
        <w:jc w:val="center"/>
        <w:rPr>
          <w:rFonts w:cstheme="minorHAnsi"/>
          <w:sz w:val="20"/>
          <w:szCs w:val="20"/>
        </w:rPr>
      </w:pPr>
      <w:r w:rsidRPr="00BC3CBD">
        <w:rPr>
          <w:rFonts w:cstheme="minorHAnsi"/>
          <w:sz w:val="20"/>
          <w:szCs w:val="20"/>
        </w:rPr>
        <w:t>Indonesia Quarterly Gross Domestic Product 2020–2024, Volume 7 2024</w:t>
      </w:r>
    </w:p>
    <w:p w14:paraId="437A5812" w14:textId="77777777" w:rsidR="00197F3C" w:rsidRPr="00BC3CBD" w:rsidRDefault="00197F3C" w:rsidP="00BC3CBD">
      <w:pPr>
        <w:spacing w:after="0" w:line="240" w:lineRule="auto"/>
        <w:ind w:firstLine="567"/>
        <w:jc w:val="center"/>
        <w:rPr>
          <w:rFonts w:cstheme="minorHAnsi"/>
          <w:sz w:val="16"/>
          <w:szCs w:val="16"/>
        </w:rPr>
      </w:pPr>
      <w:r w:rsidRPr="00BC3CBD">
        <w:rPr>
          <w:rFonts w:cstheme="minorHAnsi"/>
          <w:sz w:val="16"/>
          <w:szCs w:val="16"/>
        </w:rPr>
        <w:t xml:space="preserve">Source: </w:t>
      </w:r>
      <w:r w:rsidRPr="00BC3CBD">
        <w:rPr>
          <w:rFonts w:cstheme="minorHAnsi"/>
          <w:i/>
          <w:iCs/>
          <w:sz w:val="16"/>
          <w:szCs w:val="16"/>
        </w:rPr>
        <w:t>Badan Pusat Statistik</w:t>
      </w:r>
      <w:r w:rsidRPr="00BC3CBD">
        <w:rPr>
          <w:rFonts w:cstheme="minorHAnsi"/>
          <w:sz w:val="16"/>
          <w:szCs w:val="16"/>
        </w:rPr>
        <w:t xml:space="preserve"> (BPS) Indonesia</w:t>
      </w:r>
    </w:p>
    <w:p w14:paraId="057B1F15" w14:textId="77777777" w:rsidR="00197F3C" w:rsidRPr="00BC3CBD" w:rsidRDefault="00197F3C" w:rsidP="00BC3CBD">
      <w:pPr>
        <w:spacing w:after="0" w:line="276" w:lineRule="auto"/>
        <w:ind w:firstLine="567"/>
        <w:jc w:val="both"/>
        <w:rPr>
          <w:rFonts w:cstheme="minorHAnsi"/>
          <w:sz w:val="24"/>
          <w:szCs w:val="24"/>
        </w:rPr>
      </w:pPr>
    </w:p>
    <w:p w14:paraId="4BBEEF67" w14:textId="77777777" w:rsidR="00835351" w:rsidRPr="00835351" w:rsidRDefault="00835351" w:rsidP="00835351">
      <w:pPr>
        <w:spacing w:after="0" w:line="276" w:lineRule="auto"/>
        <w:ind w:firstLine="567"/>
        <w:jc w:val="both"/>
        <w:rPr>
          <w:rFonts w:cstheme="minorHAnsi"/>
          <w:sz w:val="24"/>
          <w:szCs w:val="24"/>
          <w:lang w:val="id-ID"/>
        </w:rPr>
      </w:pPr>
      <w:r w:rsidRPr="00835351">
        <w:rPr>
          <w:rFonts w:cstheme="minorHAnsi"/>
          <w:sz w:val="24"/>
          <w:szCs w:val="24"/>
          <w:lang w:val="id-ID"/>
        </w:rPr>
        <w:t xml:space="preserve">The construction sector's contribution to GDP fluctuated over two years, peaking at 10.48% in Q4 2021 before declining to 9.49% in Q3 2022 and recovering to 10.49% in Q4 2023. Seasonal peaks in Q4 highlight strong year-end activity. Driven by infrastructure spending aligned with </w:t>
      </w:r>
      <w:r w:rsidRPr="00835351">
        <w:rPr>
          <w:rFonts w:cstheme="minorHAnsi"/>
          <w:i/>
          <w:iCs/>
          <w:sz w:val="24"/>
          <w:szCs w:val="24"/>
          <w:lang w:val="id-ID"/>
        </w:rPr>
        <w:t>RPJMN</w:t>
      </w:r>
      <w:r w:rsidRPr="00835351">
        <w:rPr>
          <w:rFonts w:cstheme="minorHAnsi"/>
          <w:sz w:val="24"/>
          <w:szCs w:val="24"/>
          <w:lang w:val="id-ID"/>
        </w:rPr>
        <w:t xml:space="preserve"> and Law No. 2/2017, small-scale projects in rural areas remain vital. However, bureaucratic inefficiency persists, with the Construction Business Problem Index scoring 8.19 in Q1 2023-2024, indicating cash flow delays caused by contract non-compliance.</w:t>
      </w:r>
    </w:p>
    <w:p w14:paraId="02362885" w14:textId="53BBE7A7" w:rsidR="00CF750B" w:rsidRPr="00CF750B" w:rsidRDefault="00CF750B" w:rsidP="00E35EE4">
      <w:pPr>
        <w:spacing w:after="0" w:line="276" w:lineRule="auto"/>
        <w:ind w:firstLine="567"/>
        <w:jc w:val="both"/>
        <w:rPr>
          <w:rFonts w:cstheme="minorHAnsi"/>
          <w:sz w:val="24"/>
          <w:szCs w:val="24"/>
        </w:rPr>
      </w:pPr>
      <w:r w:rsidRPr="00CF750B">
        <w:rPr>
          <w:rFonts w:cstheme="minorHAnsi"/>
          <w:sz w:val="24"/>
          <w:szCs w:val="24"/>
          <w:lang w:val="id-ID"/>
        </w:rPr>
        <w:t>While Article 55 of Law No. 2/2017 regulates cost responsibilities, its flexibility often causes disputes over unclear mechanisms. Small firms, such as CV. Maezurra Indotama, face payment delays and lack clarity in project selection, contributing to performance declines in 2024. Though studies cite financial and operational challenges (Frimpong et al., 2003; Ahmad et al., 2022), strategies for project selection remain underexplored. Addressing these issues requires streamlined administration, clearer guidelines, and regulatory improvements to sustain efficiency and business growth. This study explores practical solutions to these challenges.</w:t>
      </w:r>
    </w:p>
    <w:p w14:paraId="6323DD87" w14:textId="77777777" w:rsidR="00E02AB2" w:rsidRDefault="00E02AB2" w:rsidP="006E7090">
      <w:pPr>
        <w:spacing w:after="0" w:line="276" w:lineRule="auto"/>
        <w:ind w:firstLine="284"/>
        <w:jc w:val="both"/>
        <w:rPr>
          <w:rFonts w:cstheme="minorHAnsi"/>
          <w:sz w:val="24"/>
          <w:szCs w:val="24"/>
        </w:rPr>
      </w:pPr>
    </w:p>
    <w:p w14:paraId="36E8F0ED" w14:textId="77777777" w:rsidR="00781EDF" w:rsidRPr="00BC3CBD" w:rsidRDefault="00781EDF" w:rsidP="00BC3CBD">
      <w:pPr>
        <w:spacing w:after="0" w:line="276" w:lineRule="auto"/>
        <w:jc w:val="both"/>
        <w:rPr>
          <w:rFonts w:cstheme="minorHAnsi"/>
          <w:b/>
          <w:bCs/>
          <w:sz w:val="24"/>
          <w:szCs w:val="24"/>
        </w:rPr>
      </w:pPr>
      <w:r w:rsidRPr="00BC3CBD">
        <w:rPr>
          <w:rFonts w:cstheme="minorHAnsi"/>
          <w:b/>
          <w:bCs/>
          <w:sz w:val="24"/>
          <w:szCs w:val="24"/>
        </w:rPr>
        <w:t>Research Method</w:t>
      </w:r>
    </w:p>
    <w:p w14:paraId="2F589E50" w14:textId="111B0FB5" w:rsidR="00BA0BD9" w:rsidRPr="00BA0BD9" w:rsidRDefault="00BA0BD9" w:rsidP="00CF750B">
      <w:pPr>
        <w:autoSpaceDE w:val="0"/>
        <w:autoSpaceDN w:val="0"/>
        <w:adjustRightInd w:val="0"/>
        <w:spacing w:after="0" w:line="276" w:lineRule="auto"/>
        <w:ind w:firstLine="720"/>
        <w:jc w:val="both"/>
        <w:rPr>
          <w:rFonts w:cstheme="minorHAnsi"/>
          <w:sz w:val="24"/>
          <w:szCs w:val="24"/>
          <w:lang w:val="id-ID"/>
        </w:rPr>
      </w:pPr>
      <w:r w:rsidRPr="00BA0BD9">
        <w:rPr>
          <w:rFonts w:cstheme="minorHAnsi"/>
          <w:sz w:val="24"/>
          <w:szCs w:val="24"/>
          <w:lang w:val="id-ID"/>
        </w:rPr>
        <w:t xml:space="preserve">Mixed-method research combines qualitative and quantitative approaches, offering a holistic understanding of business issues while mitigating the limitations of single methods (Creswell &amp; Plano Clark, 2018). Qualitative insights address business problems, while quantitative methods, like the Analytical Hierarchy Process (AHP), systematically rank criteria </w:t>
      </w:r>
      <w:r w:rsidRPr="00BA0BD9">
        <w:rPr>
          <w:rFonts w:cstheme="minorHAnsi"/>
          <w:sz w:val="24"/>
          <w:szCs w:val="24"/>
          <w:lang w:val="id-ID"/>
        </w:rPr>
        <w:lastRenderedPageBreak/>
        <w:t>for decision-making (Tashakkori &amp; Teddlie, 2010).</w:t>
      </w:r>
      <w:r w:rsidR="00CF750B">
        <w:rPr>
          <w:rFonts w:cstheme="minorHAnsi"/>
          <w:sz w:val="24"/>
          <w:szCs w:val="24"/>
          <w:lang w:val="id-ID"/>
        </w:rPr>
        <w:t xml:space="preserve"> </w:t>
      </w:r>
      <w:r w:rsidRPr="00BA0BD9">
        <w:rPr>
          <w:rFonts w:cstheme="minorHAnsi"/>
          <w:sz w:val="24"/>
          <w:szCs w:val="24"/>
          <w:lang w:val="id-ID"/>
        </w:rPr>
        <w:t>This study examines late payment issues in the construction sector through a case study of CV</w:t>
      </w:r>
      <w:r w:rsidR="00CA6FA0">
        <w:rPr>
          <w:rFonts w:cstheme="minorHAnsi"/>
          <w:sz w:val="24"/>
          <w:szCs w:val="24"/>
          <w:lang w:val="id-ID"/>
        </w:rPr>
        <w:t xml:space="preserve">. </w:t>
      </w:r>
      <w:r w:rsidRPr="00BA0BD9">
        <w:rPr>
          <w:rFonts w:cstheme="minorHAnsi"/>
          <w:sz w:val="24"/>
          <w:szCs w:val="24"/>
          <w:lang w:val="id-ID"/>
        </w:rPr>
        <w:t>Maezurra Indotama, a government contractor. Using AHP, expert interviews provided qualitative insights, while pairwise comparisons quantified criteria, validated by consistency ratios (Saaty, 2008). A literature review highlights AHP’s role in addressing financial risks, contract management, and project selection (Love et al., 2018).</w:t>
      </w:r>
      <w:r>
        <w:rPr>
          <w:rFonts w:cstheme="minorHAnsi"/>
          <w:sz w:val="24"/>
          <w:szCs w:val="24"/>
          <w:lang w:val="id-ID"/>
        </w:rPr>
        <w:t xml:space="preserve"> </w:t>
      </w:r>
      <w:r w:rsidRPr="00BA0BD9">
        <w:rPr>
          <w:rFonts w:cstheme="minorHAnsi"/>
          <w:sz w:val="24"/>
          <w:szCs w:val="24"/>
          <w:lang w:val="id-ID"/>
        </w:rPr>
        <w:t>AHP's structured process prioritizes decision-making, resource allocation, and risk management, proving effective across industries like ICT and construction performance evaluations (Wang &amp; Yang, 2007; Skibniewski &amp; Chao, 1992).</w:t>
      </w:r>
    </w:p>
    <w:p w14:paraId="7BB00C54" w14:textId="77777777" w:rsidR="000B416D" w:rsidRPr="00BC3CBD" w:rsidRDefault="000B416D" w:rsidP="000B416D">
      <w:pPr>
        <w:autoSpaceDE w:val="0"/>
        <w:autoSpaceDN w:val="0"/>
        <w:adjustRightInd w:val="0"/>
        <w:spacing w:after="0" w:line="276" w:lineRule="auto"/>
        <w:jc w:val="both"/>
        <w:rPr>
          <w:rFonts w:cstheme="minorHAnsi"/>
          <w:b/>
          <w:sz w:val="24"/>
          <w:szCs w:val="24"/>
        </w:rPr>
      </w:pPr>
    </w:p>
    <w:p w14:paraId="0BB98917" w14:textId="775C695F" w:rsidR="001E3FAB" w:rsidRPr="00BC3CBD" w:rsidRDefault="00781EDF" w:rsidP="00BC3CBD">
      <w:pPr>
        <w:autoSpaceDE w:val="0"/>
        <w:autoSpaceDN w:val="0"/>
        <w:adjustRightInd w:val="0"/>
        <w:spacing w:after="0" w:line="276" w:lineRule="auto"/>
        <w:jc w:val="both"/>
        <w:rPr>
          <w:rFonts w:cstheme="minorHAnsi"/>
          <w:b/>
          <w:sz w:val="24"/>
          <w:szCs w:val="24"/>
        </w:rPr>
      </w:pPr>
      <w:r w:rsidRPr="00BC3CBD">
        <w:rPr>
          <w:rFonts w:cstheme="minorHAnsi"/>
          <w:b/>
          <w:sz w:val="24"/>
          <w:szCs w:val="24"/>
        </w:rPr>
        <w:t>Result and Discussion</w:t>
      </w:r>
    </w:p>
    <w:p w14:paraId="2D09D4E8" w14:textId="77777777" w:rsidR="001E3FAB" w:rsidRPr="00F9288A" w:rsidRDefault="001E3FAB" w:rsidP="00BC3CBD">
      <w:pPr>
        <w:pStyle w:val="Judulbabsub1"/>
        <w:numPr>
          <w:ilvl w:val="0"/>
          <w:numId w:val="0"/>
        </w:numPr>
        <w:spacing w:after="0" w:line="276" w:lineRule="auto"/>
        <w:rPr>
          <w:rFonts w:asciiTheme="minorHAnsi" w:hAnsiTheme="minorHAnsi" w:cstheme="minorHAnsi"/>
          <w:b w:val="0"/>
          <w:bCs/>
          <w:i/>
          <w:iCs/>
          <w:szCs w:val="24"/>
        </w:rPr>
      </w:pPr>
      <w:r w:rsidRPr="00F9288A">
        <w:rPr>
          <w:rFonts w:asciiTheme="minorHAnsi" w:hAnsiTheme="minorHAnsi" w:cstheme="minorHAnsi"/>
          <w:b w:val="0"/>
          <w:bCs/>
          <w:i/>
          <w:iCs/>
          <w:szCs w:val="24"/>
        </w:rPr>
        <w:t>Development of Decision Hierarchy</w:t>
      </w:r>
    </w:p>
    <w:p w14:paraId="3D551AFA" w14:textId="037E91B5" w:rsidR="00C217B7" w:rsidRDefault="004615C6" w:rsidP="00961D5C">
      <w:pPr>
        <w:keepNext/>
        <w:spacing w:after="0" w:line="276" w:lineRule="auto"/>
        <w:ind w:firstLine="567"/>
        <w:jc w:val="both"/>
        <w:rPr>
          <w:rFonts w:cstheme="minorHAnsi"/>
          <w:sz w:val="24"/>
          <w:szCs w:val="24"/>
        </w:rPr>
      </w:pPr>
      <w:r w:rsidRPr="00BC3CBD">
        <w:rPr>
          <w:rFonts w:cstheme="minorHAnsi"/>
          <w:sz w:val="24"/>
          <w:szCs w:val="24"/>
        </w:rPr>
        <w:t xml:space="preserve">The initial stage of developing a decision hierarchy involves identifying the main challenges faced by the organization to formulate relevant criteria and sub-criteria. This hierarchy is designed through in-depth interviews with key stakeholders, such as the Person in Charge (PIC), and reviews of scientific references to ensure reliability and a solid academic basis. </w:t>
      </w:r>
      <w:r w:rsidR="000F1BF3" w:rsidRPr="000F1BF3">
        <w:rPr>
          <w:rFonts w:cstheme="minorHAnsi"/>
          <w:sz w:val="24"/>
          <w:szCs w:val="24"/>
        </w:rPr>
        <w:t>The process includes four key steps</w:t>
      </w:r>
      <w:r w:rsidR="00CA6FA0">
        <w:rPr>
          <w:rFonts w:cstheme="minorHAnsi"/>
          <w:sz w:val="24"/>
          <w:szCs w:val="24"/>
        </w:rPr>
        <w:t xml:space="preserve">, </w:t>
      </w:r>
      <w:r w:rsidR="000F1BF3" w:rsidRPr="000F1BF3">
        <w:rPr>
          <w:rFonts w:cstheme="minorHAnsi"/>
          <w:sz w:val="24"/>
          <w:szCs w:val="24"/>
        </w:rPr>
        <w:t>analyzing the problem to identify critical issues, determining criteria and sub-criteria through interviews and literature, constructing a hierarchical structure with objectives at the top and detailed sub-criteria below, and validating the hierarchy through expert consultation or comparison with previous research. Reliable scientific journals and studies ensure that the hierarchy meets organizational needs and is academically supported.</w:t>
      </w:r>
    </w:p>
    <w:p w14:paraId="7B1DE8E9" w14:textId="77777777" w:rsidR="00CA6FA0" w:rsidRDefault="00CA6FA0" w:rsidP="00961D5C">
      <w:pPr>
        <w:keepNext/>
        <w:spacing w:after="0" w:line="276" w:lineRule="auto"/>
        <w:ind w:firstLine="567"/>
        <w:jc w:val="both"/>
        <w:rPr>
          <w:rFonts w:cstheme="minorHAnsi"/>
          <w:sz w:val="24"/>
          <w:szCs w:val="24"/>
        </w:rPr>
      </w:pPr>
    </w:p>
    <w:p w14:paraId="6BD23BA5" w14:textId="11D043F2" w:rsidR="000F1BF3" w:rsidRPr="00F9288A" w:rsidRDefault="00CA6FA0" w:rsidP="00CA6FA0">
      <w:pPr>
        <w:spacing w:after="0" w:line="276" w:lineRule="auto"/>
        <w:ind w:firstLine="720"/>
        <w:jc w:val="center"/>
        <w:rPr>
          <w:rFonts w:cstheme="minorHAnsi"/>
          <w:b/>
          <w:bCs/>
        </w:rPr>
      </w:pPr>
      <w:r w:rsidRPr="00F9288A">
        <w:rPr>
          <w:rFonts w:cstheme="minorHAnsi"/>
          <w:b/>
          <w:bCs/>
        </w:rPr>
        <w:t>Table 1. Development of Criteria</w:t>
      </w:r>
    </w:p>
    <w:tbl>
      <w:tblPr>
        <w:tblStyle w:val="PlainTable2"/>
        <w:tblW w:w="5000" w:type="pct"/>
        <w:tblLook w:val="04A0" w:firstRow="1" w:lastRow="0" w:firstColumn="1" w:lastColumn="0" w:noHBand="0" w:noVBand="1"/>
      </w:tblPr>
      <w:tblGrid>
        <w:gridCol w:w="1771"/>
        <w:gridCol w:w="1345"/>
        <w:gridCol w:w="4518"/>
        <w:gridCol w:w="1392"/>
      </w:tblGrid>
      <w:tr w:rsidR="00BC3CBD" w:rsidRPr="00F9288A" w14:paraId="790E061B" w14:textId="77777777" w:rsidTr="00AC5774">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hideMark/>
          </w:tcPr>
          <w:p w14:paraId="37623516" w14:textId="77777777" w:rsidR="001E3FAB" w:rsidRPr="00F9288A" w:rsidRDefault="001E3FAB" w:rsidP="00E64085">
            <w:pPr>
              <w:jc w:val="center"/>
              <w:rPr>
                <w:rFonts w:cstheme="minorHAnsi"/>
                <w:b w:val="0"/>
                <w:bCs w:val="0"/>
                <w:lang w:val="id-ID" w:eastAsia="id-ID"/>
              </w:rPr>
            </w:pPr>
            <w:r w:rsidRPr="00F9288A">
              <w:rPr>
                <w:rFonts w:cstheme="minorHAnsi"/>
                <w:lang w:val="id-ID" w:eastAsia="id-ID"/>
              </w:rPr>
              <w:t>Criteria</w:t>
            </w:r>
          </w:p>
        </w:tc>
        <w:tc>
          <w:tcPr>
            <w:tcW w:w="745" w:type="pct"/>
            <w:hideMark/>
          </w:tcPr>
          <w:p w14:paraId="4D9B5539" w14:textId="77777777" w:rsidR="001E3FAB" w:rsidRPr="00F9288A" w:rsidRDefault="001E3FAB" w:rsidP="00E6408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id-ID" w:eastAsia="id-ID"/>
              </w:rPr>
            </w:pPr>
            <w:r w:rsidRPr="00F9288A">
              <w:rPr>
                <w:rFonts w:cstheme="minorHAnsi"/>
                <w:lang w:val="id-ID" w:eastAsia="id-ID"/>
              </w:rPr>
              <w:t>Sub Criteria Source</w:t>
            </w:r>
          </w:p>
        </w:tc>
        <w:tc>
          <w:tcPr>
            <w:tcW w:w="2503" w:type="pct"/>
            <w:hideMark/>
          </w:tcPr>
          <w:p w14:paraId="5B214971" w14:textId="77777777" w:rsidR="001E3FAB" w:rsidRPr="00F9288A" w:rsidRDefault="001E3FAB" w:rsidP="00E6408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id-ID" w:eastAsia="id-ID"/>
              </w:rPr>
            </w:pPr>
            <w:r w:rsidRPr="00F9288A">
              <w:rPr>
                <w:rFonts w:cstheme="minorHAnsi"/>
                <w:lang w:val="id-ID" w:eastAsia="id-ID"/>
              </w:rPr>
              <w:t>Solution</w:t>
            </w:r>
          </w:p>
        </w:tc>
        <w:tc>
          <w:tcPr>
            <w:tcW w:w="771" w:type="pct"/>
            <w:hideMark/>
          </w:tcPr>
          <w:p w14:paraId="270B56CF" w14:textId="77777777" w:rsidR="001E3FAB" w:rsidRPr="00F9288A" w:rsidRDefault="001E3FAB" w:rsidP="00E6408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id-ID" w:eastAsia="id-ID"/>
              </w:rPr>
            </w:pPr>
            <w:r w:rsidRPr="00F9288A">
              <w:rPr>
                <w:rFonts w:cstheme="minorHAnsi"/>
                <w:lang w:val="id-ID" w:eastAsia="id-ID"/>
              </w:rPr>
              <w:t>Source</w:t>
            </w:r>
          </w:p>
        </w:tc>
      </w:tr>
      <w:tr w:rsidR="00BC3CBD" w:rsidRPr="00F9288A" w14:paraId="095035E5" w14:textId="77777777" w:rsidTr="00AC577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vMerge w:val="restart"/>
            <w:hideMark/>
          </w:tcPr>
          <w:p w14:paraId="2A0D41E1" w14:textId="77777777" w:rsidR="001E3FAB" w:rsidRPr="00F9288A" w:rsidRDefault="001E3FAB" w:rsidP="00E64085">
            <w:pPr>
              <w:jc w:val="center"/>
              <w:rPr>
                <w:rFonts w:cstheme="minorHAnsi"/>
                <w:b w:val="0"/>
                <w:bCs w:val="0"/>
                <w:lang w:val="id-ID" w:eastAsia="id-ID"/>
              </w:rPr>
            </w:pPr>
            <w:r w:rsidRPr="00F9288A">
              <w:rPr>
                <w:rFonts w:cstheme="minorHAnsi"/>
                <w:lang w:val="id-ID" w:eastAsia="id-ID"/>
              </w:rPr>
              <w:t>Poor Contract Management</w:t>
            </w:r>
          </w:p>
        </w:tc>
        <w:tc>
          <w:tcPr>
            <w:tcW w:w="745" w:type="pct"/>
            <w:hideMark/>
          </w:tcPr>
          <w:p w14:paraId="59A5292E"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3029BEC0"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Project has clear and simplified contract documents</w:t>
            </w:r>
          </w:p>
        </w:tc>
        <w:tc>
          <w:tcPr>
            <w:tcW w:w="771" w:type="pct"/>
            <w:vMerge w:val="restart"/>
            <w:hideMark/>
          </w:tcPr>
          <w:p w14:paraId="4C879AF3" w14:textId="77777777" w:rsidR="001E3FAB" w:rsidRPr="00F9288A" w:rsidRDefault="001E3FAB" w:rsidP="00E64085">
            <w:pPr>
              <w:jc w:val="cente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(Frimpong et al., 2003; Ahmad et al., 2022)</w:t>
            </w:r>
          </w:p>
        </w:tc>
      </w:tr>
      <w:tr w:rsidR="00BC3CBD" w:rsidRPr="00F9288A" w14:paraId="718D4E0E" w14:textId="77777777" w:rsidTr="00AC5774">
        <w:trPr>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65304EF5" w14:textId="77777777" w:rsidR="001E3FAB" w:rsidRPr="00F9288A" w:rsidRDefault="001E3FAB" w:rsidP="00E64085">
            <w:pPr>
              <w:rPr>
                <w:rFonts w:cstheme="minorHAnsi"/>
                <w:b w:val="0"/>
                <w:bCs w:val="0"/>
                <w:lang w:val="id-ID" w:eastAsia="id-ID"/>
              </w:rPr>
            </w:pPr>
          </w:p>
        </w:tc>
        <w:tc>
          <w:tcPr>
            <w:tcW w:w="745" w:type="pct"/>
            <w:hideMark/>
          </w:tcPr>
          <w:p w14:paraId="0951F2C3"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27DAC994"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Contract review period available before signing</w:t>
            </w:r>
          </w:p>
        </w:tc>
        <w:tc>
          <w:tcPr>
            <w:tcW w:w="771" w:type="pct"/>
            <w:vMerge/>
            <w:hideMark/>
          </w:tcPr>
          <w:p w14:paraId="0F740916"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p>
        </w:tc>
      </w:tr>
      <w:tr w:rsidR="00BC3CBD" w:rsidRPr="00F9288A" w14:paraId="76B68C86" w14:textId="77777777" w:rsidTr="00AC577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54F870B6" w14:textId="77777777" w:rsidR="001E3FAB" w:rsidRPr="00F9288A" w:rsidRDefault="001E3FAB" w:rsidP="00E64085">
            <w:pPr>
              <w:rPr>
                <w:rFonts w:cstheme="minorHAnsi"/>
                <w:b w:val="0"/>
                <w:bCs w:val="0"/>
                <w:lang w:val="id-ID" w:eastAsia="id-ID"/>
              </w:rPr>
            </w:pPr>
          </w:p>
        </w:tc>
        <w:tc>
          <w:tcPr>
            <w:tcW w:w="745" w:type="pct"/>
            <w:hideMark/>
          </w:tcPr>
          <w:p w14:paraId="5A08D93F"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PIC</w:t>
            </w:r>
          </w:p>
        </w:tc>
        <w:tc>
          <w:tcPr>
            <w:tcW w:w="2503" w:type="pct"/>
            <w:hideMark/>
          </w:tcPr>
          <w:p w14:paraId="20832BA4"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The scope of work is clearly defined in the contract</w:t>
            </w:r>
          </w:p>
        </w:tc>
        <w:tc>
          <w:tcPr>
            <w:tcW w:w="771" w:type="pct"/>
            <w:vMerge/>
            <w:hideMark/>
          </w:tcPr>
          <w:p w14:paraId="632DFFAD"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p>
        </w:tc>
      </w:tr>
      <w:tr w:rsidR="00BC3CBD" w:rsidRPr="00F9288A" w14:paraId="4484E4A4" w14:textId="77777777" w:rsidTr="00AC5774">
        <w:trPr>
          <w:trHeight w:val="57"/>
        </w:trPr>
        <w:tc>
          <w:tcPr>
            <w:cnfStyle w:val="001000000000" w:firstRow="0" w:lastRow="0" w:firstColumn="1" w:lastColumn="0" w:oddVBand="0" w:evenVBand="0" w:oddHBand="0" w:evenHBand="0" w:firstRowFirstColumn="0" w:firstRowLastColumn="0" w:lastRowFirstColumn="0" w:lastRowLastColumn="0"/>
            <w:tcW w:w="981" w:type="pct"/>
            <w:vMerge w:val="restart"/>
            <w:hideMark/>
          </w:tcPr>
          <w:p w14:paraId="5439FA79" w14:textId="77777777" w:rsidR="001E3FAB" w:rsidRPr="00F9288A" w:rsidRDefault="001E3FAB" w:rsidP="00E64085">
            <w:pPr>
              <w:jc w:val="center"/>
              <w:rPr>
                <w:rFonts w:cstheme="minorHAnsi"/>
                <w:b w:val="0"/>
                <w:bCs w:val="0"/>
                <w:lang w:val="id-ID" w:eastAsia="id-ID"/>
              </w:rPr>
            </w:pPr>
            <w:r w:rsidRPr="00F9288A">
              <w:rPr>
                <w:rFonts w:cstheme="minorHAnsi"/>
                <w:lang w:val="id-ID" w:eastAsia="id-ID"/>
              </w:rPr>
              <w:t>Shortage of Funds from Client</w:t>
            </w:r>
          </w:p>
        </w:tc>
        <w:tc>
          <w:tcPr>
            <w:tcW w:w="745" w:type="pct"/>
            <w:hideMark/>
          </w:tcPr>
          <w:p w14:paraId="4F4ACF4B"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03FF5A33"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Can ensure client funds are available</w:t>
            </w:r>
          </w:p>
        </w:tc>
        <w:tc>
          <w:tcPr>
            <w:tcW w:w="771" w:type="pct"/>
            <w:vMerge w:val="restart"/>
            <w:hideMark/>
          </w:tcPr>
          <w:p w14:paraId="763403DB" w14:textId="77777777" w:rsidR="001E3FAB" w:rsidRPr="00F9288A" w:rsidRDefault="001E3FAB" w:rsidP="00E64085">
            <w:pPr>
              <w:jc w:val="cente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(Islam et al., 2014; Ahmad et al., 2022)</w:t>
            </w:r>
          </w:p>
        </w:tc>
      </w:tr>
      <w:tr w:rsidR="00BC3CBD" w:rsidRPr="00F9288A" w14:paraId="10E845AE" w14:textId="77777777" w:rsidTr="00AC577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394439A0" w14:textId="77777777" w:rsidR="001E3FAB" w:rsidRPr="00F9288A" w:rsidRDefault="001E3FAB" w:rsidP="00E64085">
            <w:pPr>
              <w:rPr>
                <w:rFonts w:cstheme="minorHAnsi"/>
                <w:b w:val="0"/>
                <w:bCs w:val="0"/>
                <w:lang w:val="id-ID" w:eastAsia="id-ID"/>
              </w:rPr>
            </w:pPr>
          </w:p>
        </w:tc>
        <w:tc>
          <w:tcPr>
            <w:tcW w:w="745" w:type="pct"/>
            <w:hideMark/>
          </w:tcPr>
          <w:p w14:paraId="096384FF"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49F1E442"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Clients can ensure additional financial support and guarantees are arranged in a timely manner</w:t>
            </w:r>
          </w:p>
        </w:tc>
        <w:tc>
          <w:tcPr>
            <w:tcW w:w="771" w:type="pct"/>
            <w:vMerge/>
            <w:hideMark/>
          </w:tcPr>
          <w:p w14:paraId="5FCE859A"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p>
        </w:tc>
      </w:tr>
      <w:tr w:rsidR="00BC3CBD" w:rsidRPr="00F9288A" w14:paraId="4CD7BC8E" w14:textId="77777777" w:rsidTr="00AC5774">
        <w:trPr>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39C5EACB" w14:textId="77777777" w:rsidR="001E3FAB" w:rsidRPr="00F9288A" w:rsidRDefault="001E3FAB" w:rsidP="00E64085">
            <w:pPr>
              <w:rPr>
                <w:rFonts w:cstheme="minorHAnsi"/>
                <w:b w:val="0"/>
                <w:bCs w:val="0"/>
                <w:lang w:val="id-ID" w:eastAsia="id-ID"/>
              </w:rPr>
            </w:pPr>
          </w:p>
        </w:tc>
        <w:tc>
          <w:tcPr>
            <w:tcW w:w="745" w:type="pct"/>
            <w:hideMark/>
          </w:tcPr>
          <w:p w14:paraId="78CD4BA1"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76DB502D"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Shares of the project might be sold to get the financial support</w:t>
            </w:r>
          </w:p>
        </w:tc>
        <w:tc>
          <w:tcPr>
            <w:tcW w:w="771" w:type="pct"/>
            <w:vMerge/>
            <w:hideMark/>
          </w:tcPr>
          <w:p w14:paraId="569FD5BE"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p>
        </w:tc>
      </w:tr>
      <w:tr w:rsidR="00BC3CBD" w:rsidRPr="00F9288A" w14:paraId="14B015D4" w14:textId="77777777" w:rsidTr="00AC577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vMerge w:val="restart"/>
            <w:hideMark/>
          </w:tcPr>
          <w:p w14:paraId="0B6967F5" w14:textId="77777777" w:rsidR="001E3FAB" w:rsidRPr="00F9288A" w:rsidRDefault="001E3FAB" w:rsidP="00E64085">
            <w:pPr>
              <w:jc w:val="center"/>
              <w:rPr>
                <w:rFonts w:cstheme="minorHAnsi"/>
                <w:b w:val="0"/>
                <w:bCs w:val="0"/>
                <w:lang w:val="id-ID" w:eastAsia="id-ID"/>
              </w:rPr>
            </w:pPr>
            <w:r w:rsidRPr="00F9288A">
              <w:rPr>
                <w:rFonts w:cstheme="minorHAnsi"/>
                <w:lang w:val="id-ID" w:eastAsia="id-ID"/>
              </w:rPr>
              <w:t>Inadequate Scheduling</w:t>
            </w:r>
          </w:p>
        </w:tc>
        <w:tc>
          <w:tcPr>
            <w:tcW w:w="745" w:type="pct"/>
            <w:hideMark/>
          </w:tcPr>
          <w:p w14:paraId="65C5E9B5"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74A3BE6F"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There are experts coming from the project client</w:t>
            </w:r>
          </w:p>
        </w:tc>
        <w:tc>
          <w:tcPr>
            <w:tcW w:w="771" w:type="pct"/>
            <w:vMerge w:val="restart"/>
            <w:hideMark/>
          </w:tcPr>
          <w:p w14:paraId="48CDA7ED" w14:textId="77777777" w:rsidR="001E3FAB" w:rsidRPr="00F9288A" w:rsidRDefault="001E3FAB" w:rsidP="00E64085">
            <w:pPr>
              <w:jc w:val="cente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(Pati and Kumar, 2015; Ahmad et al., 2022)</w:t>
            </w:r>
          </w:p>
        </w:tc>
      </w:tr>
      <w:tr w:rsidR="00BC3CBD" w:rsidRPr="00F9288A" w14:paraId="72B96F19" w14:textId="77777777" w:rsidTr="00AC5774">
        <w:trPr>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42421A9E" w14:textId="77777777" w:rsidR="001E3FAB" w:rsidRPr="00F9288A" w:rsidRDefault="001E3FAB" w:rsidP="00E64085">
            <w:pPr>
              <w:rPr>
                <w:rFonts w:cstheme="minorHAnsi"/>
                <w:b w:val="0"/>
                <w:bCs w:val="0"/>
                <w:lang w:val="id-ID" w:eastAsia="id-ID"/>
              </w:rPr>
            </w:pPr>
          </w:p>
        </w:tc>
        <w:tc>
          <w:tcPr>
            <w:tcW w:w="745" w:type="pct"/>
            <w:hideMark/>
          </w:tcPr>
          <w:p w14:paraId="7D03E681"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19AECB2B"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Realistic job scheduling and presented in advance</w:t>
            </w:r>
          </w:p>
        </w:tc>
        <w:tc>
          <w:tcPr>
            <w:tcW w:w="771" w:type="pct"/>
            <w:vMerge/>
            <w:hideMark/>
          </w:tcPr>
          <w:p w14:paraId="61B4DE1A"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p>
        </w:tc>
      </w:tr>
      <w:tr w:rsidR="00BC3CBD" w:rsidRPr="00F9288A" w14:paraId="299EE28A" w14:textId="77777777" w:rsidTr="00AC577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4EE80240" w14:textId="77777777" w:rsidR="001E3FAB" w:rsidRPr="00F9288A" w:rsidRDefault="001E3FAB" w:rsidP="00E64085">
            <w:pPr>
              <w:rPr>
                <w:rFonts w:cstheme="minorHAnsi"/>
                <w:b w:val="0"/>
                <w:bCs w:val="0"/>
                <w:lang w:val="id-ID" w:eastAsia="id-ID"/>
              </w:rPr>
            </w:pPr>
          </w:p>
        </w:tc>
        <w:tc>
          <w:tcPr>
            <w:tcW w:w="745" w:type="pct"/>
            <w:hideMark/>
          </w:tcPr>
          <w:p w14:paraId="35AB27F1"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02282877"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r w:rsidRPr="00F9288A">
              <w:rPr>
                <w:rFonts w:cstheme="minorHAnsi"/>
                <w:lang w:val="id-ID" w:eastAsia="id-ID"/>
              </w:rPr>
              <w:t>Not too many restrictions for project supervision</w:t>
            </w:r>
          </w:p>
        </w:tc>
        <w:tc>
          <w:tcPr>
            <w:tcW w:w="771" w:type="pct"/>
            <w:vMerge/>
            <w:hideMark/>
          </w:tcPr>
          <w:p w14:paraId="59A4FD86" w14:textId="77777777" w:rsidR="001E3FAB" w:rsidRPr="00F9288A" w:rsidRDefault="001E3FAB" w:rsidP="00E64085">
            <w:pPr>
              <w:cnfStyle w:val="000000100000" w:firstRow="0" w:lastRow="0" w:firstColumn="0" w:lastColumn="0" w:oddVBand="0" w:evenVBand="0" w:oddHBand="1" w:evenHBand="0" w:firstRowFirstColumn="0" w:firstRowLastColumn="0" w:lastRowFirstColumn="0" w:lastRowLastColumn="0"/>
              <w:rPr>
                <w:rFonts w:cstheme="minorHAnsi"/>
                <w:lang w:val="id-ID" w:eastAsia="id-ID"/>
              </w:rPr>
            </w:pPr>
          </w:p>
        </w:tc>
      </w:tr>
      <w:tr w:rsidR="00BC3CBD" w:rsidRPr="00F9288A" w14:paraId="52AFD8A9" w14:textId="77777777" w:rsidTr="00AC5774">
        <w:trPr>
          <w:trHeight w:val="57"/>
        </w:trPr>
        <w:tc>
          <w:tcPr>
            <w:cnfStyle w:val="001000000000" w:firstRow="0" w:lastRow="0" w:firstColumn="1" w:lastColumn="0" w:oddVBand="0" w:evenVBand="0" w:oddHBand="0" w:evenHBand="0" w:firstRowFirstColumn="0" w:firstRowLastColumn="0" w:lastRowFirstColumn="0" w:lastRowLastColumn="0"/>
            <w:tcW w:w="981" w:type="pct"/>
            <w:vMerge/>
            <w:hideMark/>
          </w:tcPr>
          <w:p w14:paraId="4F657EFB" w14:textId="77777777" w:rsidR="001E3FAB" w:rsidRPr="00F9288A" w:rsidRDefault="001E3FAB" w:rsidP="00E64085">
            <w:pPr>
              <w:rPr>
                <w:rFonts w:cstheme="minorHAnsi"/>
                <w:b w:val="0"/>
                <w:bCs w:val="0"/>
                <w:lang w:val="id-ID" w:eastAsia="id-ID"/>
              </w:rPr>
            </w:pPr>
          </w:p>
        </w:tc>
        <w:tc>
          <w:tcPr>
            <w:tcW w:w="745" w:type="pct"/>
            <w:hideMark/>
          </w:tcPr>
          <w:p w14:paraId="03C53B87"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Literature</w:t>
            </w:r>
          </w:p>
        </w:tc>
        <w:tc>
          <w:tcPr>
            <w:tcW w:w="2503" w:type="pct"/>
            <w:hideMark/>
          </w:tcPr>
          <w:p w14:paraId="40896370"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r w:rsidRPr="00F9288A">
              <w:rPr>
                <w:rFonts w:cstheme="minorHAnsi"/>
                <w:lang w:val="id-ID" w:eastAsia="id-ID"/>
              </w:rPr>
              <w:t>Scheduling of term payments is clearly guaranteed by the client</w:t>
            </w:r>
          </w:p>
        </w:tc>
        <w:tc>
          <w:tcPr>
            <w:tcW w:w="771" w:type="pct"/>
            <w:vMerge/>
            <w:hideMark/>
          </w:tcPr>
          <w:p w14:paraId="71B89EC5" w14:textId="77777777" w:rsidR="001E3FAB" w:rsidRPr="00F9288A" w:rsidRDefault="001E3FAB" w:rsidP="00E64085">
            <w:pPr>
              <w:cnfStyle w:val="000000000000" w:firstRow="0" w:lastRow="0" w:firstColumn="0" w:lastColumn="0" w:oddVBand="0" w:evenVBand="0" w:oddHBand="0" w:evenHBand="0" w:firstRowFirstColumn="0" w:firstRowLastColumn="0" w:lastRowFirstColumn="0" w:lastRowLastColumn="0"/>
              <w:rPr>
                <w:rFonts w:cstheme="minorHAnsi"/>
                <w:lang w:val="id-ID" w:eastAsia="id-ID"/>
              </w:rPr>
            </w:pPr>
          </w:p>
        </w:tc>
      </w:tr>
    </w:tbl>
    <w:p w14:paraId="6CC2EB93" w14:textId="77777777" w:rsidR="00480EE1" w:rsidRPr="00BC3CBD" w:rsidRDefault="00480EE1" w:rsidP="00BC3CBD">
      <w:pPr>
        <w:spacing w:after="0" w:line="276" w:lineRule="auto"/>
        <w:ind w:firstLine="720"/>
        <w:jc w:val="both"/>
        <w:rPr>
          <w:rFonts w:cstheme="minorHAnsi"/>
          <w:sz w:val="24"/>
          <w:szCs w:val="24"/>
        </w:rPr>
      </w:pPr>
    </w:p>
    <w:p w14:paraId="2A447D88" w14:textId="61477FCF" w:rsidR="00315FCB" w:rsidRPr="00315FCB" w:rsidRDefault="00E35EE4" w:rsidP="00F9288A">
      <w:pPr>
        <w:spacing w:after="0" w:line="276" w:lineRule="auto"/>
        <w:ind w:firstLine="720"/>
        <w:jc w:val="center"/>
        <w:rPr>
          <w:rFonts w:cstheme="minorHAnsi"/>
          <w:sz w:val="24"/>
          <w:szCs w:val="24"/>
        </w:rPr>
      </w:pPr>
      <w:r w:rsidRPr="00543385">
        <w:rPr>
          <w:rFonts w:cstheme="minorHAnsi"/>
          <w:b/>
          <w:bCs/>
          <w:noProof/>
          <w:sz w:val="24"/>
          <w:szCs w:val="24"/>
          <w:lang w:val="id-ID"/>
        </w:rPr>
        <w:lastRenderedPageBreak/>
        <w:drawing>
          <wp:anchor distT="0" distB="0" distL="114300" distR="114300" simplePos="0" relativeHeight="251659264" behindDoc="0" locked="0" layoutInCell="1" allowOverlap="1" wp14:anchorId="5047A011" wp14:editId="101E8699">
            <wp:simplePos x="0" y="0"/>
            <wp:positionH relativeFrom="margin">
              <wp:posOffset>1212567</wp:posOffset>
            </wp:positionH>
            <wp:positionV relativeFrom="paragraph">
              <wp:posOffset>2398577</wp:posOffset>
            </wp:positionV>
            <wp:extent cx="3494405" cy="1913890"/>
            <wp:effectExtent l="0" t="0" r="0" b="0"/>
            <wp:wrapTopAndBottom/>
            <wp:docPr id="14663701" name="Picture 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701" name="Picture 4" descr="A diagram of a company&#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6963"/>
                    <a:stretch/>
                  </pic:blipFill>
                  <pic:spPr bwMode="auto">
                    <a:xfrm>
                      <a:off x="0" y="0"/>
                      <a:ext cx="3494405" cy="1913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5FCB" w:rsidRPr="00315FCB">
        <w:rPr>
          <w:rFonts w:cstheme="minorHAnsi"/>
          <w:sz w:val="24"/>
          <w:szCs w:val="24"/>
        </w:rPr>
        <w:t xml:space="preserve">Poor contract management is a significant challenge in project implementation as it can create uncertainty and conflicts. Solutions include designing clear and straightforward contract documents, allowing sufficient time for review to identify issues, and ensuring the scope of work is clearly defined to avoid ambiguity (Frimpong et al., 2003; Ahmad et al., 2022). Another critical issue is the need for more funds from the client, which can disrupt project continuity. Literature suggests ensuring funds are available before the project begins, arranging additional financial support promptly, or selling project shares to secure financing  (Islam et al., 2014; Ahmad et al., 2022). Lastly, inadequate scheduling often leads to delays. Solutions include involving client-side experts in schedule planning, preparing realistic schedules before the project starts, reducing supervision restrictions for flexibility, and ensuring a clear term payment schedule to prevent funding delays (Pati &amp; Kumar, 2015; </w:t>
      </w:r>
      <w:r w:rsidR="00F9288A" w:rsidRPr="00F9288A">
        <w:rPr>
          <w:rFonts w:cstheme="minorHAnsi"/>
        </w:rPr>
        <w:t>(</w:t>
      </w:r>
      <w:r w:rsidR="00315FCB" w:rsidRPr="00F9288A">
        <w:rPr>
          <w:rFonts w:cstheme="minorHAnsi"/>
        </w:rPr>
        <w:t>Ahmad et al., 2022)</w:t>
      </w:r>
    </w:p>
    <w:p w14:paraId="0E3EB71A" w14:textId="316F8160" w:rsidR="001E3FAB" w:rsidRPr="00F9288A" w:rsidRDefault="001E3FAB" w:rsidP="00BC3CBD">
      <w:pPr>
        <w:pStyle w:val="ListParagraph"/>
        <w:spacing w:after="0" w:line="276" w:lineRule="auto"/>
        <w:ind w:left="0"/>
        <w:jc w:val="center"/>
        <w:rPr>
          <w:rFonts w:cstheme="minorHAnsi"/>
          <w:sz w:val="24"/>
          <w:szCs w:val="24"/>
          <w:lang w:val="en-GB"/>
        </w:rPr>
      </w:pPr>
      <w:r w:rsidRPr="00543385">
        <w:rPr>
          <w:rFonts w:cstheme="minorHAnsi"/>
          <w:b/>
          <w:bCs/>
          <w:sz w:val="24"/>
          <w:szCs w:val="24"/>
        </w:rPr>
        <w:t xml:space="preserve"> </w:t>
      </w:r>
      <w:r w:rsidRPr="00F9288A">
        <w:rPr>
          <w:rFonts w:cstheme="minorHAnsi"/>
          <w:sz w:val="20"/>
          <w:szCs w:val="20"/>
          <w:lang w:val="id-ID"/>
        </w:rPr>
        <w:t>Figure</w:t>
      </w:r>
      <w:r w:rsidR="00A74CFB" w:rsidRPr="00F9288A">
        <w:rPr>
          <w:rFonts w:cstheme="minorHAnsi"/>
          <w:sz w:val="20"/>
          <w:szCs w:val="20"/>
          <w:lang w:val="en-GB"/>
        </w:rPr>
        <w:t xml:space="preserve"> </w:t>
      </w:r>
      <w:r w:rsidR="00F9288A">
        <w:rPr>
          <w:rFonts w:cstheme="minorHAnsi"/>
          <w:sz w:val="20"/>
          <w:szCs w:val="20"/>
          <w:lang w:val="en-GB"/>
        </w:rPr>
        <w:t>2</w:t>
      </w:r>
      <w:r w:rsidRPr="00F9288A">
        <w:rPr>
          <w:rFonts w:cstheme="minorHAnsi"/>
          <w:sz w:val="20"/>
          <w:szCs w:val="20"/>
          <w:lang w:val="id-ID"/>
        </w:rPr>
        <w:t xml:space="preserve">. Decision Hierarchy on Selecting the </w:t>
      </w:r>
      <w:r w:rsidRPr="00F9288A">
        <w:rPr>
          <w:rFonts w:cstheme="minorHAnsi"/>
          <w:sz w:val="20"/>
          <w:szCs w:val="20"/>
          <w:lang w:val="en-GB"/>
        </w:rPr>
        <w:t>Best Construction Project</w:t>
      </w:r>
    </w:p>
    <w:p w14:paraId="0895C7CD" w14:textId="77777777" w:rsidR="00315FCB" w:rsidRDefault="00315FCB" w:rsidP="00315FCB">
      <w:pPr>
        <w:spacing w:after="0" w:line="276" w:lineRule="auto"/>
        <w:rPr>
          <w:rFonts w:cstheme="minorHAnsi"/>
          <w:sz w:val="24"/>
          <w:szCs w:val="24"/>
          <w:lang w:val="id-ID"/>
        </w:rPr>
      </w:pPr>
    </w:p>
    <w:p w14:paraId="1237CE70" w14:textId="087E7B27" w:rsidR="000B7375" w:rsidRPr="00EA0833" w:rsidRDefault="000B7375" w:rsidP="00723CCE">
      <w:pPr>
        <w:spacing w:after="0" w:line="276" w:lineRule="auto"/>
        <w:ind w:firstLine="720"/>
        <w:jc w:val="both"/>
        <w:rPr>
          <w:rFonts w:cstheme="minorHAnsi"/>
          <w:sz w:val="24"/>
          <w:szCs w:val="24"/>
          <w:lang w:val="id-ID"/>
        </w:rPr>
      </w:pPr>
      <w:r w:rsidRPr="00EA0833">
        <w:rPr>
          <w:rFonts w:cstheme="minorHAnsi"/>
          <w:sz w:val="24"/>
          <w:szCs w:val="24"/>
          <w:lang w:val="id-ID"/>
        </w:rPr>
        <w:t>The decision hierarchy for CV. Maezurra’s project selection focuses on three main criteria: Poor Contract Management, Shortage of Funds from Clients, and Inadequate Scheduling, each with practical sub-criteria. For Poor Contract Management, key solutions include clear contract documents, a review period before signing, and a well-defined scope of work to avoid ambiguity. Shortage of Funds emphasizes securing funds before projects begin, arranging financial guarantees, and selling project shares if necessary. For Inadequate Scheduling, expert involvement ensures realistic schedules, flexible supervision, and clear-term payment schedules to prevent delays.</w:t>
      </w:r>
      <w:r w:rsidR="00723CCE">
        <w:rPr>
          <w:rFonts w:cstheme="minorHAnsi"/>
          <w:sz w:val="24"/>
          <w:szCs w:val="24"/>
          <w:lang w:val="id-ID"/>
        </w:rPr>
        <w:t xml:space="preserve"> </w:t>
      </w:r>
      <w:r w:rsidRPr="00EA0833">
        <w:rPr>
          <w:rFonts w:cstheme="minorHAnsi"/>
          <w:sz w:val="24"/>
          <w:szCs w:val="24"/>
          <w:lang w:val="id-ID"/>
        </w:rPr>
        <w:t>These criteria are applied to three projects: Irrigation Canal Construction (PURB Office), Government Public Procurement of Equipment, and School Renovation Project (Education Office). This evaluation aligns projects with strategic goals, ensuring the best fit for the company.</w:t>
      </w:r>
    </w:p>
    <w:p w14:paraId="4F97F27E" w14:textId="77777777" w:rsidR="00096085" w:rsidRPr="00BC3CBD" w:rsidRDefault="00096085" w:rsidP="00E02AB2">
      <w:pPr>
        <w:pStyle w:val="ListParagraph"/>
        <w:spacing w:after="0" w:line="276" w:lineRule="auto"/>
        <w:ind w:left="0" w:firstLine="720"/>
        <w:jc w:val="both"/>
        <w:rPr>
          <w:rFonts w:cstheme="minorHAnsi"/>
          <w:b/>
          <w:bCs/>
          <w:sz w:val="24"/>
          <w:szCs w:val="24"/>
          <w:lang w:val="id-ID"/>
        </w:rPr>
      </w:pPr>
    </w:p>
    <w:p w14:paraId="4FEA94D9" w14:textId="4916E74D" w:rsidR="001E3FAB" w:rsidRPr="00F9288A" w:rsidRDefault="001E3FAB" w:rsidP="00BC3CBD">
      <w:pPr>
        <w:pStyle w:val="JudulBab"/>
        <w:spacing w:line="276" w:lineRule="auto"/>
        <w:jc w:val="both"/>
        <w:outlineLvl w:val="2"/>
        <w:rPr>
          <w:rFonts w:asciiTheme="minorHAnsi" w:hAnsiTheme="minorHAnsi" w:cstheme="minorHAnsi"/>
          <w:b w:val="0"/>
          <w:bCs/>
          <w:i/>
          <w:iCs/>
          <w:sz w:val="24"/>
          <w:szCs w:val="24"/>
        </w:rPr>
      </w:pPr>
      <w:bookmarkStart w:id="1" w:name="_Toc184220847"/>
      <w:r w:rsidRPr="00F9288A">
        <w:rPr>
          <w:rFonts w:asciiTheme="minorHAnsi" w:hAnsiTheme="minorHAnsi" w:cstheme="minorHAnsi"/>
          <w:b w:val="0"/>
          <w:bCs/>
          <w:i/>
          <w:iCs/>
          <w:sz w:val="24"/>
          <w:szCs w:val="24"/>
        </w:rPr>
        <w:t>Analysis of Pairwise Comparison for Criteria and Sub-Criteria</w:t>
      </w:r>
      <w:bookmarkEnd w:id="1"/>
    </w:p>
    <w:p w14:paraId="5FF3E7C6" w14:textId="77777777" w:rsidR="00A73838" w:rsidRPr="00F9288A" w:rsidRDefault="001E3FAB" w:rsidP="00BC3CBD">
      <w:pPr>
        <w:pStyle w:val="JudulBab"/>
        <w:spacing w:line="276" w:lineRule="auto"/>
        <w:jc w:val="both"/>
        <w:outlineLvl w:val="2"/>
        <w:rPr>
          <w:rFonts w:asciiTheme="minorHAnsi" w:hAnsiTheme="minorHAnsi" w:cstheme="minorHAnsi"/>
          <w:b w:val="0"/>
          <w:bCs/>
          <w:i/>
          <w:iCs/>
          <w:sz w:val="24"/>
          <w:szCs w:val="24"/>
        </w:rPr>
      </w:pPr>
      <w:bookmarkStart w:id="2" w:name="_Toc180865394"/>
      <w:bookmarkStart w:id="3" w:name="_Toc184220848"/>
      <w:r w:rsidRPr="00F9288A">
        <w:rPr>
          <w:rFonts w:asciiTheme="minorHAnsi" w:hAnsiTheme="minorHAnsi" w:cstheme="minorHAnsi"/>
          <w:b w:val="0"/>
          <w:bCs/>
          <w:i/>
          <w:iCs/>
          <w:sz w:val="24"/>
          <w:szCs w:val="24"/>
        </w:rPr>
        <w:t>Outcome of Pairwise Comparison for Criteria</w:t>
      </w:r>
      <w:bookmarkEnd w:id="2"/>
      <w:bookmarkEnd w:id="3"/>
    </w:p>
    <w:p w14:paraId="5AD4E3AD" w14:textId="77777777" w:rsidR="00096085" w:rsidRPr="00096085" w:rsidRDefault="00096085" w:rsidP="00096085">
      <w:pPr>
        <w:pStyle w:val="JudulBab"/>
        <w:spacing w:line="276" w:lineRule="auto"/>
        <w:ind w:firstLine="720"/>
        <w:jc w:val="both"/>
        <w:rPr>
          <w:rFonts w:asciiTheme="minorHAnsi" w:hAnsiTheme="minorHAnsi" w:cstheme="minorHAnsi"/>
          <w:b w:val="0"/>
          <w:sz w:val="24"/>
          <w:szCs w:val="24"/>
          <w:lang w:val="id-ID"/>
        </w:rPr>
      </w:pPr>
      <w:r w:rsidRPr="00096085">
        <w:rPr>
          <w:rFonts w:asciiTheme="minorHAnsi" w:hAnsiTheme="minorHAnsi" w:cstheme="minorHAnsi"/>
          <w:b w:val="0"/>
          <w:sz w:val="24"/>
          <w:szCs w:val="24"/>
          <w:lang w:val="id-ID"/>
        </w:rPr>
        <w:t>In the Analytical Hierarchy Process (AHP), the Consistency Ratio (CR) measures the consistency of pairwise comparisons. According to Saaty, a CR value ≤ 0.10 indicates consistency, while values above 0.10 suggest inconsistency, requiring a review of the comparison matrix.</w:t>
      </w:r>
    </w:p>
    <w:p w14:paraId="0D66CB9B" w14:textId="77777777" w:rsidR="005052D6" w:rsidRPr="00F9288A" w:rsidRDefault="005052D6" w:rsidP="005052D6">
      <w:pPr>
        <w:pStyle w:val="JudulBab"/>
        <w:spacing w:line="276" w:lineRule="auto"/>
        <w:jc w:val="both"/>
        <w:rPr>
          <w:rFonts w:asciiTheme="minorHAnsi" w:hAnsiTheme="minorHAnsi" w:cstheme="minorHAnsi"/>
          <w:b w:val="0"/>
          <w:bCs/>
          <w:sz w:val="22"/>
        </w:rPr>
      </w:pPr>
    </w:p>
    <w:p w14:paraId="027C7231" w14:textId="4C907A16" w:rsidR="00CA6FA0" w:rsidRPr="00F9288A" w:rsidRDefault="00CA6FA0" w:rsidP="00CA6FA0">
      <w:pPr>
        <w:spacing w:after="0" w:line="276" w:lineRule="auto"/>
        <w:ind w:firstLine="567"/>
        <w:jc w:val="center"/>
        <w:rPr>
          <w:rFonts w:cstheme="minorHAnsi"/>
          <w:b/>
        </w:rPr>
      </w:pPr>
      <w:r w:rsidRPr="00F9288A">
        <w:rPr>
          <w:rFonts w:cstheme="minorHAnsi"/>
          <w:b/>
        </w:rPr>
        <w:t>Table 2. Group Result and Priorities of Individual Participants</w:t>
      </w:r>
    </w:p>
    <w:tbl>
      <w:tblPr>
        <w:tblStyle w:val="PlainTable2"/>
        <w:tblW w:w="9344" w:type="dxa"/>
        <w:tblLook w:val="04A0" w:firstRow="1" w:lastRow="0" w:firstColumn="1" w:lastColumn="0" w:noHBand="0" w:noVBand="1"/>
      </w:tblPr>
      <w:tblGrid>
        <w:gridCol w:w="1996"/>
        <w:gridCol w:w="2985"/>
        <w:gridCol w:w="1460"/>
        <w:gridCol w:w="2199"/>
        <w:gridCol w:w="704"/>
      </w:tblGrid>
      <w:tr w:rsidR="001B5F3E" w:rsidRPr="00F9288A" w14:paraId="6C9181FB" w14:textId="77777777" w:rsidTr="00E02AB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89A09A4" w14:textId="77777777" w:rsidR="001E3FAB" w:rsidRPr="00F9288A" w:rsidRDefault="001E3FAB" w:rsidP="00A82ED7">
            <w:pPr>
              <w:jc w:val="center"/>
              <w:rPr>
                <w:rFonts w:cstheme="minorHAnsi"/>
                <w:b w:val="0"/>
                <w:bCs w:val="0"/>
              </w:rPr>
            </w:pPr>
            <w:r w:rsidRPr="00F9288A">
              <w:rPr>
                <w:rFonts w:cstheme="minorHAnsi"/>
              </w:rPr>
              <w:t>Participant</w:t>
            </w:r>
          </w:p>
        </w:tc>
        <w:tc>
          <w:tcPr>
            <w:tcW w:w="0" w:type="auto"/>
            <w:hideMark/>
          </w:tcPr>
          <w:p w14:paraId="4870E30C"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Quality of Contract Management</w:t>
            </w:r>
          </w:p>
        </w:tc>
        <w:tc>
          <w:tcPr>
            <w:tcW w:w="0" w:type="auto"/>
            <w:hideMark/>
          </w:tcPr>
          <w:p w14:paraId="2DC327B1"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Secured Funds</w:t>
            </w:r>
          </w:p>
        </w:tc>
        <w:tc>
          <w:tcPr>
            <w:tcW w:w="0" w:type="auto"/>
            <w:hideMark/>
          </w:tcPr>
          <w:p w14:paraId="32D66D18"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Schedule Management</w:t>
            </w:r>
          </w:p>
        </w:tc>
        <w:tc>
          <w:tcPr>
            <w:tcW w:w="0" w:type="auto"/>
            <w:hideMark/>
          </w:tcPr>
          <w:p w14:paraId="6724099C"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CR</w:t>
            </w:r>
            <w:r w:rsidRPr="00F9288A">
              <w:rPr>
                <w:rFonts w:cstheme="minorHAnsi"/>
                <w:vertAlign w:val="subscript"/>
              </w:rPr>
              <w:t>max</w:t>
            </w:r>
          </w:p>
        </w:tc>
      </w:tr>
      <w:tr w:rsidR="001B5F3E" w:rsidRPr="00F9288A" w14:paraId="04FF8882"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53471FF" w14:textId="77777777" w:rsidR="001E3FAB" w:rsidRPr="00F9288A" w:rsidRDefault="001E3FAB" w:rsidP="00A82ED7">
            <w:pPr>
              <w:rPr>
                <w:rFonts w:cstheme="minorHAnsi"/>
              </w:rPr>
            </w:pPr>
            <w:r w:rsidRPr="00F9288A">
              <w:rPr>
                <w:rFonts w:cstheme="minorHAnsi"/>
              </w:rPr>
              <w:t>Group result</w:t>
            </w:r>
          </w:p>
        </w:tc>
        <w:tc>
          <w:tcPr>
            <w:tcW w:w="0" w:type="auto"/>
            <w:tcBorders>
              <w:bottom w:val="nil"/>
            </w:tcBorders>
            <w:hideMark/>
          </w:tcPr>
          <w:p w14:paraId="68060832"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35.6%</w:t>
            </w:r>
          </w:p>
        </w:tc>
        <w:tc>
          <w:tcPr>
            <w:tcW w:w="0" w:type="auto"/>
            <w:tcBorders>
              <w:bottom w:val="nil"/>
            </w:tcBorders>
            <w:hideMark/>
          </w:tcPr>
          <w:p w14:paraId="4A7547B8"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30.8%</w:t>
            </w:r>
          </w:p>
        </w:tc>
        <w:tc>
          <w:tcPr>
            <w:tcW w:w="0" w:type="auto"/>
            <w:tcBorders>
              <w:bottom w:val="nil"/>
            </w:tcBorders>
            <w:hideMark/>
          </w:tcPr>
          <w:p w14:paraId="104D4AB8"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33.6%</w:t>
            </w:r>
          </w:p>
        </w:tc>
        <w:tc>
          <w:tcPr>
            <w:tcW w:w="0" w:type="auto"/>
            <w:tcBorders>
              <w:bottom w:val="nil"/>
            </w:tcBorders>
            <w:hideMark/>
          </w:tcPr>
          <w:p w14:paraId="00382567"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1.4%</w:t>
            </w:r>
          </w:p>
        </w:tc>
      </w:tr>
      <w:tr w:rsidR="001B5F3E" w:rsidRPr="00F9288A" w14:paraId="4F6E33AF" w14:textId="77777777" w:rsidTr="00F9288A">
        <w:trPr>
          <w:trHeight w:val="5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249D85" w14:textId="5566E5AD" w:rsidR="001E3FAB" w:rsidRPr="00F9288A" w:rsidRDefault="001B5F3E" w:rsidP="00A82ED7">
            <w:pPr>
              <w:rPr>
                <w:rFonts w:cstheme="minorHAnsi"/>
              </w:rPr>
            </w:pPr>
            <w:r w:rsidRPr="00F9288A">
              <w:rPr>
                <w:rFonts w:cstheme="minorHAnsi"/>
              </w:rPr>
              <w:t>Project Supervisor</w:t>
            </w:r>
          </w:p>
        </w:tc>
        <w:tc>
          <w:tcPr>
            <w:tcW w:w="0" w:type="auto"/>
            <w:tcBorders>
              <w:top w:val="nil"/>
              <w:bottom w:val="nil"/>
            </w:tcBorders>
            <w:hideMark/>
          </w:tcPr>
          <w:p w14:paraId="49BBEBAA"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44.4%</w:t>
            </w:r>
          </w:p>
        </w:tc>
        <w:tc>
          <w:tcPr>
            <w:tcW w:w="0" w:type="auto"/>
            <w:tcBorders>
              <w:top w:val="nil"/>
              <w:bottom w:val="nil"/>
            </w:tcBorders>
            <w:hideMark/>
          </w:tcPr>
          <w:p w14:paraId="494CC57B"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8.4%</w:t>
            </w:r>
          </w:p>
        </w:tc>
        <w:tc>
          <w:tcPr>
            <w:tcW w:w="0" w:type="auto"/>
            <w:tcBorders>
              <w:top w:val="nil"/>
              <w:bottom w:val="nil"/>
            </w:tcBorders>
            <w:hideMark/>
          </w:tcPr>
          <w:p w14:paraId="2140C8AA"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47.2%</w:t>
            </w:r>
          </w:p>
        </w:tc>
        <w:tc>
          <w:tcPr>
            <w:tcW w:w="0" w:type="auto"/>
            <w:tcBorders>
              <w:top w:val="nil"/>
              <w:bottom w:val="nil"/>
            </w:tcBorders>
            <w:hideMark/>
          </w:tcPr>
          <w:p w14:paraId="4D5EF873"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0.4%</w:t>
            </w:r>
          </w:p>
        </w:tc>
      </w:tr>
      <w:tr w:rsidR="001B5F3E" w:rsidRPr="00F9288A" w14:paraId="7F4CA92F"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1C1AD98" w14:textId="2BC72FA4" w:rsidR="001E3FAB" w:rsidRPr="00F9288A" w:rsidRDefault="001B5F3E" w:rsidP="00A82ED7">
            <w:pPr>
              <w:rPr>
                <w:rFonts w:cstheme="minorHAnsi"/>
              </w:rPr>
            </w:pPr>
            <w:r w:rsidRPr="00F9288A">
              <w:rPr>
                <w:rFonts w:cstheme="minorHAnsi"/>
              </w:rPr>
              <w:t>Operational Director</w:t>
            </w:r>
          </w:p>
        </w:tc>
        <w:tc>
          <w:tcPr>
            <w:tcW w:w="0" w:type="auto"/>
            <w:tcBorders>
              <w:top w:val="nil"/>
              <w:bottom w:val="nil"/>
            </w:tcBorders>
            <w:hideMark/>
          </w:tcPr>
          <w:p w14:paraId="0E2D8513"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9.4%</w:t>
            </w:r>
          </w:p>
        </w:tc>
        <w:tc>
          <w:tcPr>
            <w:tcW w:w="0" w:type="auto"/>
            <w:tcBorders>
              <w:top w:val="nil"/>
              <w:bottom w:val="nil"/>
            </w:tcBorders>
            <w:hideMark/>
          </w:tcPr>
          <w:p w14:paraId="0356F01D"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80.9%</w:t>
            </w:r>
          </w:p>
        </w:tc>
        <w:tc>
          <w:tcPr>
            <w:tcW w:w="0" w:type="auto"/>
            <w:tcBorders>
              <w:top w:val="nil"/>
              <w:bottom w:val="nil"/>
            </w:tcBorders>
            <w:hideMark/>
          </w:tcPr>
          <w:p w14:paraId="3946439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9.7%</w:t>
            </w:r>
          </w:p>
        </w:tc>
        <w:tc>
          <w:tcPr>
            <w:tcW w:w="0" w:type="auto"/>
            <w:tcBorders>
              <w:top w:val="nil"/>
              <w:bottom w:val="nil"/>
            </w:tcBorders>
            <w:hideMark/>
          </w:tcPr>
          <w:p w14:paraId="579B63B3"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0.2%</w:t>
            </w:r>
          </w:p>
        </w:tc>
      </w:tr>
      <w:tr w:rsidR="001B5F3E" w:rsidRPr="00F9288A" w14:paraId="132B8B44" w14:textId="77777777" w:rsidTr="00F9288A">
        <w:trPr>
          <w:trHeight w:val="57"/>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036424" w14:textId="658CC222" w:rsidR="001E3FAB" w:rsidRPr="00F9288A" w:rsidRDefault="001B5F3E" w:rsidP="00A82ED7">
            <w:pPr>
              <w:rPr>
                <w:rFonts w:cstheme="minorHAnsi"/>
              </w:rPr>
            </w:pPr>
            <w:r w:rsidRPr="00F9288A">
              <w:rPr>
                <w:rFonts w:cstheme="minorHAnsi"/>
              </w:rPr>
              <w:t>Finance Director</w:t>
            </w:r>
          </w:p>
        </w:tc>
        <w:tc>
          <w:tcPr>
            <w:tcW w:w="0" w:type="auto"/>
            <w:tcBorders>
              <w:top w:val="nil"/>
              <w:bottom w:val="nil"/>
            </w:tcBorders>
            <w:hideMark/>
          </w:tcPr>
          <w:p w14:paraId="0C257A7E"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55.8%</w:t>
            </w:r>
          </w:p>
        </w:tc>
        <w:tc>
          <w:tcPr>
            <w:tcW w:w="0" w:type="auto"/>
            <w:tcBorders>
              <w:top w:val="nil"/>
              <w:bottom w:val="nil"/>
            </w:tcBorders>
            <w:hideMark/>
          </w:tcPr>
          <w:p w14:paraId="14D8FD35"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12.2%</w:t>
            </w:r>
          </w:p>
        </w:tc>
        <w:tc>
          <w:tcPr>
            <w:tcW w:w="0" w:type="auto"/>
            <w:tcBorders>
              <w:top w:val="nil"/>
              <w:bottom w:val="nil"/>
            </w:tcBorders>
            <w:hideMark/>
          </w:tcPr>
          <w:p w14:paraId="63768E07"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32.0%</w:t>
            </w:r>
          </w:p>
        </w:tc>
        <w:tc>
          <w:tcPr>
            <w:tcW w:w="0" w:type="auto"/>
            <w:tcBorders>
              <w:top w:val="nil"/>
              <w:bottom w:val="nil"/>
            </w:tcBorders>
            <w:hideMark/>
          </w:tcPr>
          <w:p w14:paraId="56339016"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1.9%</w:t>
            </w:r>
          </w:p>
        </w:tc>
      </w:tr>
      <w:tr w:rsidR="001B5F3E" w:rsidRPr="00F9288A" w14:paraId="4FA92617"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88A5911" w14:textId="1224B305" w:rsidR="001E3FAB" w:rsidRPr="00F9288A" w:rsidRDefault="001B5F3E" w:rsidP="00A82ED7">
            <w:pPr>
              <w:rPr>
                <w:rFonts w:cstheme="minorHAnsi"/>
              </w:rPr>
            </w:pPr>
            <w:r w:rsidRPr="00F9288A">
              <w:rPr>
                <w:rFonts w:cstheme="minorHAnsi"/>
              </w:rPr>
              <w:t>Director</w:t>
            </w:r>
          </w:p>
        </w:tc>
        <w:tc>
          <w:tcPr>
            <w:tcW w:w="0" w:type="auto"/>
            <w:tcBorders>
              <w:top w:val="nil"/>
            </w:tcBorders>
            <w:hideMark/>
          </w:tcPr>
          <w:p w14:paraId="3E879ED8"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26.0%</w:t>
            </w:r>
          </w:p>
        </w:tc>
        <w:tc>
          <w:tcPr>
            <w:tcW w:w="0" w:type="auto"/>
            <w:tcBorders>
              <w:top w:val="nil"/>
            </w:tcBorders>
            <w:hideMark/>
          </w:tcPr>
          <w:p w14:paraId="73E58AC0"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41.3%</w:t>
            </w:r>
          </w:p>
        </w:tc>
        <w:tc>
          <w:tcPr>
            <w:tcW w:w="0" w:type="auto"/>
            <w:tcBorders>
              <w:top w:val="nil"/>
            </w:tcBorders>
            <w:hideMark/>
          </w:tcPr>
          <w:p w14:paraId="4808D020"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32.7%</w:t>
            </w:r>
          </w:p>
        </w:tc>
        <w:tc>
          <w:tcPr>
            <w:tcW w:w="0" w:type="auto"/>
            <w:tcBorders>
              <w:top w:val="nil"/>
            </w:tcBorders>
            <w:hideMark/>
          </w:tcPr>
          <w:p w14:paraId="1525368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5.6%</w:t>
            </w:r>
          </w:p>
        </w:tc>
      </w:tr>
    </w:tbl>
    <w:p w14:paraId="645DD4E6" w14:textId="77777777" w:rsidR="00E24377" w:rsidRPr="00BC3CBD" w:rsidRDefault="00E24377" w:rsidP="00BC3CBD">
      <w:pPr>
        <w:spacing w:after="0" w:line="276" w:lineRule="auto"/>
        <w:ind w:firstLine="567"/>
        <w:jc w:val="both"/>
        <w:rPr>
          <w:rFonts w:cstheme="minorHAnsi"/>
          <w:sz w:val="24"/>
          <w:szCs w:val="24"/>
        </w:rPr>
      </w:pPr>
    </w:p>
    <w:p w14:paraId="5B7D3018" w14:textId="7A732541" w:rsidR="00201D2C" w:rsidRPr="00201D2C" w:rsidRDefault="00201D2C" w:rsidP="00201D2C">
      <w:pPr>
        <w:spacing w:after="0" w:line="276" w:lineRule="auto"/>
        <w:ind w:firstLine="567"/>
        <w:jc w:val="both"/>
        <w:rPr>
          <w:rFonts w:cstheme="minorHAnsi"/>
          <w:sz w:val="24"/>
          <w:szCs w:val="24"/>
          <w:lang w:val="id-ID"/>
        </w:rPr>
      </w:pPr>
      <w:bookmarkStart w:id="4" w:name="_Toc180865395"/>
      <w:bookmarkStart w:id="5" w:name="_Toc184220849"/>
      <w:r w:rsidRPr="00201D2C">
        <w:rPr>
          <w:rFonts w:cstheme="minorHAnsi"/>
          <w:sz w:val="24"/>
          <w:szCs w:val="24"/>
          <w:lang w:val="id-ID"/>
        </w:rPr>
        <w:t>The analysis prioritized three main criteria: Quality of Contract Management, Secured Funds, and Schedule Management, with group and individual variations. At the group level, Quality of Contract Management ranked highest (35.6%), followed by Schedule Management (33.6%) and Secured Funds (30.8%), with a reliable consistency ratio (CRmax 1.4%). Individually, the Project Supervisor prioritized Schedule Management (47.2%), while the Operational Director emphasized Secured Funds (80.9%). The Finance Director ranked Quality of Contract Management highest (55.8%), and the Director presented a balanced view, prioritizing Secured Funds (41.3%). All assessments maintained acceptable consistency, ensuring validity. The results highlight that Quality of Contract Management (35.6%) is most crucial, with contract reviews, fund availability, and clear payment schedules identified as key factors for project success at CV. Maezurra Indotama.</w:t>
      </w:r>
    </w:p>
    <w:p w14:paraId="271774FE" w14:textId="77777777" w:rsidR="00BC63B1" w:rsidRPr="00BC3CBD" w:rsidRDefault="00BC63B1" w:rsidP="00BC63B1">
      <w:pPr>
        <w:spacing w:after="0" w:line="276" w:lineRule="auto"/>
        <w:ind w:firstLine="567"/>
        <w:jc w:val="both"/>
        <w:rPr>
          <w:rFonts w:cstheme="minorHAnsi"/>
          <w:sz w:val="24"/>
          <w:szCs w:val="24"/>
        </w:rPr>
      </w:pPr>
    </w:p>
    <w:p w14:paraId="780B0E44" w14:textId="21444730" w:rsidR="001E3FAB" w:rsidRPr="00F9288A" w:rsidRDefault="001E3FAB" w:rsidP="00BC3CBD">
      <w:pPr>
        <w:pStyle w:val="JudulBab"/>
        <w:spacing w:line="276" w:lineRule="auto"/>
        <w:jc w:val="both"/>
        <w:outlineLvl w:val="2"/>
        <w:rPr>
          <w:rFonts w:asciiTheme="minorHAnsi" w:hAnsiTheme="minorHAnsi" w:cstheme="minorHAnsi"/>
          <w:b w:val="0"/>
          <w:bCs/>
          <w:i/>
          <w:iCs/>
          <w:sz w:val="24"/>
          <w:szCs w:val="24"/>
        </w:rPr>
      </w:pPr>
      <w:r w:rsidRPr="00F9288A">
        <w:rPr>
          <w:rFonts w:asciiTheme="minorHAnsi" w:hAnsiTheme="minorHAnsi" w:cstheme="minorHAnsi"/>
          <w:b w:val="0"/>
          <w:bCs/>
          <w:i/>
          <w:iCs/>
          <w:sz w:val="24"/>
          <w:szCs w:val="24"/>
        </w:rPr>
        <w:t>Outcome of Pairwise Comparison for Sub Criteria</w:t>
      </w:r>
      <w:bookmarkEnd w:id="4"/>
      <w:bookmarkEnd w:id="5"/>
    </w:p>
    <w:p w14:paraId="732350B8" w14:textId="77777777" w:rsidR="00C65D27" w:rsidRPr="00BC3CBD" w:rsidRDefault="00C65D27" w:rsidP="00BC3CBD">
      <w:pPr>
        <w:pStyle w:val="JudulBab"/>
        <w:spacing w:line="276" w:lineRule="auto"/>
        <w:jc w:val="both"/>
        <w:rPr>
          <w:rFonts w:asciiTheme="minorHAnsi" w:hAnsiTheme="minorHAnsi" w:cstheme="minorHAnsi"/>
          <w:sz w:val="24"/>
          <w:szCs w:val="24"/>
        </w:rPr>
      </w:pPr>
      <w:r w:rsidRPr="00F9288A">
        <w:rPr>
          <w:rFonts w:asciiTheme="minorHAnsi" w:hAnsiTheme="minorHAnsi" w:cstheme="minorHAnsi"/>
          <w:b w:val="0"/>
          <w:bCs/>
          <w:i/>
          <w:iCs/>
          <w:sz w:val="24"/>
          <w:szCs w:val="24"/>
        </w:rPr>
        <w:t>Contract Management</w:t>
      </w:r>
    </w:p>
    <w:p w14:paraId="7A883A2D" w14:textId="133EA5D7" w:rsidR="007C589B" w:rsidRDefault="001E3FAB" w:rsidP="00096085">
      <w:pPr>
        <w:pStyle w:val="JudulBab"/>
        <w:spacing w:line="276" w:lineRule="auto"/>
        <w:ind w:firstLine="720"/>
        <w:jc w:val="both"/>
        <w:rPr>
          <w:rFonts w:asciiTheme="minorHAnsi" w:hAnsiTheme="minorHAnsi" w:cstheme="minorHAnsi"/>
          <w:b w:val="0"/>
          <w:bCs/>
          <w:sz w:val="24"/>
          <w:szCs w:val="24"/>
        </w:rPr>
      </w:pPr>
      <w:r w:rsidRPr="00BC3CBD">
        <w:rPr>
          <w:rFonts w:asciiTheme="minorHAnsi" w:hAnsiTheme="minorHAnsi" w:cstheme="minorHAnsi"/>
          <w:b w:val="0"/>
          <w:bCs/>
          <w:sz w:val="24"/>
          <w:szCs w:val="24"/>
        </w:rPr>
        <w:t>The figure below provides a detailed explanation of the paired comparisons conducted for the sub-criteria related to Contract Management:</w:t>
      </w:r>
    </w:p>
    <w:p w14:paraId="107DD7B9" w14:textId="77777777" w:rsidR="00CA6FA0" w:rsidRPr="00F9288A" w:rsidRDefault="00CA6FA0" w:rsidP="00096085">
      <w:pPr>
        <w:pStyle w:val="JudulBab"/>
        <w:spacing w:line="276" w:lineRule="auto"/>
        <w:ind w:firstLine="720"/>
        <w:jc w:val="both"/>
        <w:rPr>
          <w:rFonts w:asciiTheme="minorHAnsi" w:hAnsiTheme="minorHAnsi" w:cstheme="minorHAnsi"/>
          <w:b w:val="0"/>
          <w:bCs/>
          <w:sz w:val="22"/>
        </w:rPr>
      </w:pPr>
    </w:p>
    <w:p w14:paraId="28764582" w14:textId="4F1D5B2E" w:rsidR="00CA6FA0" w:rsidRPr="00F9288A" w:rsidRDefault="00CA6FA0" w:rsidP="00CA6FA0">
      <w:pPr>
        <w:pStyle w:val="JudulBab"/>
        <w:spacing w:line="276" w:lineRule="auto"/>
        <w:rPr>
          <w:rFonts w:asciiTheme="minorHAnsi" w:hAnsiTheme="minorHAnsi" w:cstheme="minorHAnsi"/>
          <w:sz w:val="22"/>
        </w:rPr>
      </w:pPr>
      <w:r w:rsidRPr="00F9288A">
        <w:rPr>
          <w:rFonts w:asciiTheme="minorHAnsi" w:hAnsiTheme="minorHAnsi" w:cstheme="minorHAnsi"/>
          <w:sz w:val="22"/>
        </w:rPr>
        <w:t>Table 3.  AHP Group Result for Sub-criteria of Contract Management</w:t>
      </w:r>
    </w:p>
    <w:tbl>
      <w:tblPr>
        <w:tblStyle w:val="PlainTable2"/>
        <w:tblW w:w="9344" w:type="dxa"/>
        <w:tblLook w:val="04A0" w:firstRow="1" w:lastRow="0" w:firstColumn="1" w:lastColumn="0" w:noHBand="0" w:noVBand="1"/>
      </w:tblPr>
      <w:tblGrid>
        <w:gridCol w:w="1674"/>
        <w:gridCol w:w="2375"/>
        <w:gridCol w:w="2507"/>
        <w:gridCol w:w="2084"/>
        <w:gridCol w:w="704"/>
      </w:tblGrid>
      <w:tr w:rsidR="00BC3CBD" w:rsidRPr="00F9288A" w14:paraId="4B861F13" w14:textId="77777777" w:rsidTr="00E02AB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38BFCE4E" w14:textId="77777777" w:rsidR="001E3FAB" w:rsidRPr="00F9288A" w:rsidRDefault="001E3FAB" w:rsidP="00A82ED7">
            <w:pPr>
              <w:jc w:val="center"/>
              <w:rPr>
                <w:rFonts w:cstheme="minorHAnsi"/>
                <w:b w:val="0"/>
                <w:bCs w:val="0"/>
              </w:rPr>
            </w:pPr>
            <w:r w:rsidRPr="00F9288A">
              <w:rPr>
                <w:rFonts w:cstheme="minorHAnsi"/>
              </w:rPr>
              <w:t>Participant</w:t>
            </w:r>
          </w:p>
        </w:tc>
        <w:tc>
          <w:tcPr>
            <w:tcW w:w="0" w:type="auto"/>
            <w:hideMark/>
          </w:tcPr>
          <w:p w14:paraId="315A5696" w14:textId="4A99240B"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 xml:space="preserve">Project has clear and simplified contract </w:t>
            </w:r>
          </w:p>
        </w:tc>
        <w:tc>
          <w:tcPr>
            <w:tcW w:w="0" w:type="auto"/>
            <w:hideMark/>
          </w:tcPr>
          <w:p w14:paraId="71B88092" w14:textId="7008922F"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Contract review period available before sign</w:t>
            </w:r>
          </w:p>
        </w:tc>
        <w:tc>
          <w:tcPr>
            <w:tcW w:w="0" w:type="auto"/>
            <w:hideMark/>
          </w:tcPr>
          <w:p w14:paraId="4E295733" w14:textId="13DD0D43"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 xml:space="preserve">The scope of work is clearly defined </w:t>
            </w:r>
          </w:p>
        </w:tc>
        <w:tc>
          <w:tcPr>
            <w:tcW w:w="0" w:type="auto"/>
            <w:hideMark/>
          </w:tcPr>
          <w:p w14:paraId="23032A9A"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CR</w:t>
            </w:r>
            <w:r w:rsidRPr="00F9288A">
              <w:rPr>
                <w:rFonts w:cstheme="minorHAnsi"/>
                <w:vertAlign w:val="subscript"/>
              </w:rPr>
              <w:t>max</w:t>
            </w:r>
          </w:p>
        </w:tc>
      </w:tr>
      <w:tr w:rsidR="00BC3CBD" w:rsidRPr="00F9288A" w14:paraId="61B340D6"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3630087" w14:textId="77777777" w:rsidR="001E3FAB" w:rsidRPr="00F9288A" w:rsidRDefault="001E3FAB" w:rsidP="00A82ED7">
            <w:pPr>
              <w:rPr>
                <w:rFonts w:cstheme="minorHAnsi"/>
              </w:rPr>
            </w:pPr>
            <w:r w:rsidRPr="00F9288A">
              <w:rPr>
                <w:rFonts w:cstheme="minorHAnsi"/>
              </w:rPr>
              <w:t>Group result</w:t>
            </w:r>
          </w:p>
        </w:tc>
        <w:tc>
          <w:tcPr>
            <w:tcW w:w="0" w:type="auto"/>
            <w:hideMark/>
          </w:tcPr>
          <w:p w14:paraId="38183913"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31.4%</w:t>
            </w:r>
          </w:p>
        </w:tc>
        <w:tc>
          <w:tcPr>
            <w:tcW w:w="0" w:type="auto"/>
            <w:hideMark/>
          </w:tcPr>
          <w:p w14:paraId="14525576"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42.2%</w:t>
            </w:r>
          </w:p>
        </w:tc>
        <w:tc>
          <w:tcPr>
            <w:tcW w:w="0" w:type="auto"/>
            <w:hideMark/>
          </w:tcPr>
          <w:p w14:paraId="35A55540"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26.4%</w:t>
            </w:r>
          </w:p>
        </w:tc>
        <w:tc>
          <w:tcPr>
            <w:tcW w:w="0" w:type="auto"/>
            <w:hideMark/>
          </w:tcPr>
          <w:p w14:paraId="22C459B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0.0%</w:t>
            </w:r>
          </w:p>
        </w:tc>
      </w:tr>
      <w:tr w:rsidR="00BC3CBD" w:rsidRPr="00F9288A" w14:paraId="5A655257" w14:textId="77777777" w:rsidTr="00E02AB2">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34CB2CC8" w14:textId="732D859A" w:rsidR="001E3FAB" w:rsidRPr="00F9288A" w:rsidRDefault="001B5F3E" w:rsidP="00A82ED7">
            <w:pPr>
              <w:rPr>
                <w:rFonts w:cstheme="minorHAnsi"/>
              </w:rPr>
            </w:pPr>
            <w:r w:rsidRPr="00F9288A">
              <w:rPr>
                <w:rFonts w:cstheme="minorHAnsi"/>
              </w:rPr>
              <w:t>Project Supervisor</w:t>
            </w:r>
          </w:p>
        </w:tc>
        <w:tc>
          <w:tcPr>
            <w:tcW w:w="0" w:type="auto"/>
            <w:hideMark/>
          </w:tcPr>
          <w:p w14:paraId="7181C2BB"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69.1%</w:t>
            </w:r>
          </w:p>
        </w:tc>
        <w:tc>
          <w:tcPr>
            <w:tcW w:w="0" w:type="auto"/>
            <w:hideMark/>
          </w:tcPr>
          <w:p w14:paraId="1A18641E"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14.9%</w:t>
            </w:r>
          </w:p>
        </w:tc>
        <w:tc>
          <w:tcPr>
            <w:tcW w:w="0" w:type="auto"/>
            <w:hideMark/>
          </w:tcPr>
          <w:p w14:paraId="34C580D5"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16.0%</w:t>
            </w:r>
          </w:p>
        </w:tc>
        <w:tc>
          <w:tcPr>
            <w:tcW w:w="0" w:type="auto"/>
            <w:hideMark/>
          </w:tcPr>
          <w:p w14:paraId="17EC2C1F"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0.6%</w:t>
            </w:r>
          </w:p>
        </w:tc>
      </w:tr>
      <w:tr w:rsidR="00BC3CBD" w:rsidRPr="00F9288A" w14:paraId="177729F7"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C14AC78" w14:textId="494B2B22" w:rsidR="001E3FAB" w:rsidRPr="00F9288A" w:rsidRDefault="001B5F3E" w:rsidP="00A82ED7">
            <w:pPr>
              <w:rPr>
                <w:rFonts w:cstheme="minorHAnsi"/>
              </w:rPr>
            </w:pPr>
            <w:r w:rsidRPr="00F9288A">
              <w:rPr>
                <w:rFonts w:cstheme="minorHAnsi"/>
              </w:rPr>
              <w:t>Operational Director</w:t>
            </w:r>
          </w:p>
        </w:tc>
        <w:tc>
          <w:tcPr>
            <w:tcW w:w="0" w:type="auto"/>
            <w:hideMark/>
          </w:tcPr>
          <w:p w14:paraId="402961C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20.0%</w:t>
            </w:r>
          </w:p>
        </w:tc>
        <w:tc>
          <w:tcPr>
            <w:tcW w:w="0" w:type="auto"/>
            <w:hideMark/>
          </w:tcPr>
          <w:p w14:paraId="0E9884E2"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68.3%</w:t>
            </w:r>
          </w:p>
        </w:tc>
        <w:tc>
          <w:tcPr>
            <w:tcW w:w="0" w:type="auto"/>
            <w:hideMark/>
          </w:tcPr>
          <w:p w14:paraId="0C2E7C11"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11.7%</w:t>
            </w:r>
          </w:p>
        </w:tc>
        <w:tc>
          <w:tcPr>
            <w:tcW w:w="0" w:type="auto"/>
            <w:hideMark/>
          </w:tcPr>
          <w:p w14:paraId="6E5A40D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2.6%</w:t>
            </w:r>
          </w:p>
        </w:tc>
      </w:tr>
      <w:tr w:rsidR="00BC3CBD" w:rsidRPr="00F9288A" w14:paraId="2F2C2C11" w14:textId="77777777" w:rsidTr="00E02AB2">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5191ADE3" w14:textId="53670B5C" w:rsidR="001E3FAB" w:rsidRPr="00F9288A" w:rsidRDefault="001B5F3E" w:rsidP="00A82ED7">
            <w:pPr>
              <w:rPr>
                <w:rFonts w:cstheme="minorHAnsi"/>
              </w:rPr>
            </w:pPr>
            <w:r w:rsidRPr="00F9288A">
              <w:rPr>
                <w:rFonts w:cstheme="minorHAnsi"/>
              </w:rPr>
              <w:t>Finance Director</w:t>
            </w:r>
          </w:p>
        </w:tc>
        <w:tc>
          <w:tcPr>
            <w:tcW w:w="0" w:type="auto"/>
            <w:hideMark/>
          </w:tcPr>
          <w:p w14:paraId="5CC8D067"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17.4%</w:t>
            </w:r>
          </w:p>
        </w:tc>
        <w:tc>
          <w:tcPr>
            <w:tcW w:w="0" w:type="auto"/>
            <w:hideMark/>
          </w:tcPr>
          <w:p w14:paraId="1EEFF1B0"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19.2%</w:t>
            </w:r>
          </w:p>
        </w:tc>
        <w:tc>
          <w:tcPr>
            <w:tcW w:w="0" w:type="auto"/>
            <w:hideMark/>
          </w:tcPr>
          <w:p w14:paraId="7617A07C"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63.4%</w:t>
            </w:r>
          </w:p>
        </w:tc>
        <w:tc>
          <w:tcPr>
            <w:tcW w:w="0" w:type="auto"/>
            <w:hideMark/>
          </w:tcPr>
          <w:p w14:paraId="0374B40E"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1.0%</w:t>
            </w:r>
          </w:p>
        </w:tc>
      </w:tr>
      <w:tr w:rsidR="00BC3CBD" w:rsidRPr="00F9288A" w14:paraId="508BBD0A"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4CA35DBE" w14:textId="4BEA4C67" w:rsidR="001E3FAB" w:rsidRPr="00F9288A" w:rsidRDefault="001B5F3E" w:rsidP="00A82ED7">
            <w:pPr>
              <w:rPr>
                <w:rFonts w:cstheme="minorHAnsi"/>
              </w:rPr>
            </w:pPr>
            <w:r w:rsidRPr="00F9288A">
              <w:rPr>
                <w:rFonts w:cstheme="minorHAnsi"/>
              </w:rPr>
              <w:t>Director</w:t>
            </w:r>
          </w:p>
        </w:tc>
        <w:tc>
          <w:tcPr>
            <w:tcW w:w="0" w:type="auto"/>
            <w:hideMark/>
          </w:tcPr>
          <w:p w14:paraId="32502C7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16.7%</w:t>
            </w:r>
          </w:p>
        </w:tc>
        <w:tc>
          <w:tcPr>
            <w:tcW w:w="0" w:type="auto"/>
            <w:hideMark/>
          </w:tcPr>
          <w:p w14:paraId="48C7E23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66.7%</w:t>
            </w:r>
          </w:p>
        </w:tc>
        <w:tc>
          <w:tcPr>
            <w:tcW w:w="0" w:type="auto"/>
            <w:hideMark/>
          </w:tcPr>
          <w:p w14:paraId="373F6A1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16.7%</w:t>
            </w:r>
          </w:p>
        </w:tc>
        <w:tc>
          <w:tcPr>
            <w:tcW w:w="0" w:type="auto"/>
            <w:hideMark/>
          </w:tcPr>
          <w:p w14:paraId="16D6FBE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0.0%</w:t>
            </w:r>
          </w:p>
        </w:tc>
      </w:tr>
    </w:tbl>
    <w:p w14:paraId="0A3DEFC4" w14:textId="77777777" w:rsidR="004E211B" w:rsidRPr="00BC3CBD" w:rsidRDefault="004E211B" w:rsidP="00BC3CBD">
      <w:pPr>
        <w:pStyle w:val="JudulBab"/>
        <w:spacing w:line="276" w:lineRule="auto"/>
        <w:jc w:val="both"/>
        <w:rPr>
          <w:rFonts w:asciiTheme="minorHAnsi" w:hAnsiTheme="minorHAnsi" w:cstheme="minorHAnsi"/>
          <w:b w:val="0"/>
          <w:bCs/>
          <w:sz w:val="24"/>
          <w:szCs w:val="24"/>
        </w:rPr>
      </w:pPr>
    </w:p>
    <w:p w14:paraId="71395D59" w14:textId="5F67A5EF" w:rsidR="00025CE6" w:rsidRPr="00025CE6" w:rsidRDefault="00FB1F3C" w:rsidP="00E35EE4">
      <w:pPr>
        <w:spacing w:after="0" w:line="276" w:lineRule="auto"/>
        <w:ind w:firstLine="567"/>
        <w:jc w:val="both"/>
        <w:rPr>
          <w:rFonts w:cstheme="minorHAnsi"/>
          <w:bCs/>
          <w:sz w:val="24"/>
          <w:szCs w:val="24"/>
        </w:rPr>
      </w:pPr>
      <w:r w:rsidRPr="00FB1F3C">
        <w:rPr>
          <w:rFonts w:cstheme="minorHAnsi"/>
          <w:bCs/>
          <w:sz w:val="24"/>
          <w:szCs w:val="24"/>
        </w:rPr>
        <w:t xml:space="preserve">The results of the table analysis show the distribution of priorities in the three main sub-criteria in Quality of Contract Management: the Project has clear and simplified contract documents, the Contract review period is available before signing, and The scope of work is clearly defined in the contract, with varying levels of consistency (CRmax) among participants. </w:t>
      </w:r>
      <w:r w:rsidR="00025CE6" w:rsidRPr="00025CE6">
        <w:rPr>
          <w:rFonts w:cstheme="minorHAnsi"/>
          <w:bCs/>
          <w:sz w:val="24"/>
          <w:szCs w:val="24"/>
          <w:lang w:val="id-ID"/>
        </w:rPr>
        <w:t xml:space="preserve">At the individual level, priorities varied among participants. The Project Supervisor focused </w:t>
      </w:r>
      <w:r w:rsidR="00025CE6" w:rsidRPr="00025CE6">
        <w:rPr>
          <w:rFonts w:cstheme="minorHAnsi"/>
          <w:bCs/>
          <w:sz w:val="24"/>
          <w:szCs w:val="24"/>
          <w:lang w:val="id-ID"/>
        </w:rPr>
        <w:lastRenderedPageBreak/>
        <w:t>on clear and simplified contract documents (69.1%) with excellent consistency (CRmax 0.6%). The Operational Director emphasized the contract review period before signing (68.3%) with acceptable consistency (CRmax 2.6%). The Finance Director prioritized a clearly defined scope of work (63.4%) with good consistency (CRmax 1.0%). The Director evenly weighted all sub-criteria, favoring the contract review period (66.7%) with perfect consistency (CRmax 0.0%). Overall, the group results highlight the contract review period before signing as the top priority (42.2%), followed by clear and simplified contract documents (31.4%) and a clearly defined scope of work (26.4%). The perfect group consistency ratio (CR 0.0%) ensures reliable and valid results, emphasizing the contract review period as the most critical factor in effective contract management.</w:t>
      </w:r>
    </w:p>
    <w:p w14:paraId="555A04B4" w14:textId="77777777" w:rsidR="00867BD3" w:rsidRPr="00BC3CBD" w:rsidRDefault="00867BD3" w:rsidP="00867BD3">
      <w:pPr>
        <w:spacing w:after="0" w:line="276" w:lineRule="auto"/>
        <w:ind w:firstLine="567"/>
        <w:jc w:val="both"/>
        <w:rPr>
          <w:rFonts w:cstheme="minorHAnsi"/>
          <w:b/>
          <w:bCs/>
          <w:sz w:val="24"/>
          <w:szCs w:val="24"/>
        </w:rPr>
      </w:pPr>
    </w:p>
    <w:p w14:paraId="01C4591B" w14:textId="649B1315" w:rsidR="00C65D27" w:rsidRPr="00F9288A" w:rsidRDefault="00C65D27" w:rsidP="00BC3CBD">
      <w:pPr>
        <w:pStyle w:val="JudulBab"/>
        <w:spacing w:line="276" w:lineRule="auto"/>
        <w:jc w:val="both"/>
        <w:rPr>
          <w:rFonts w:asciiTheme="minorHAnsi" w:hAnsiTheme="minorHAnsi" w:cstheme="minorHAnsi"/>
          <w:b w:val="0"/>
          <w:bCs/>
          <w:i/>
          <w:iCs/>
          <w:sz w:val="24"/>
          <w:szCs w:val="24"/>
        </w:rPr>
      </w:pPr>
      <w:r w:rsidRPr="00F9288A">
        <w:rPr>
          <w:rFonts w:asciiTheme="minorHAnsi" w:hAnsiTheme="minorHAnsi" w:cstheme="minorHAnsi"/>
          <w:b w:val="0"/>
          <w:bCs/>
          <w:i/>
          <w:iCs/>
          <w:sz w:val="24"/>
          <w:szCs w:val="24"/>
        </w:rPr>
        <w:t>Secured Funds</w:t>
      </w:r>
    </w:p>
    <w:p w14:paraId="36507F80" w14:textId="52E3FCBA" w:rsidR="007C589B" w:rsidRDefault="001E3FAB" w:rsidP="00E02AB2">
      <w:pPr>
        <w:pStyle w:val="JudulBab"/>
        <w:spacing w:line="276" w:lineRule="auto"/>
        <w:ind w:firstLine="720"/>
        <w:jc w:val="both"/>
        <w:rPr>
          <w:rFonts w:asciiTheme="minorHAnsi" w:hAnsiTheme="minorHAnsi" w:cstheme="minorHAnsi"/>
          <w:b w:val="0"/>
          <w:bCs/>
          <w:sz w:val="24"/>
          <w:szCs w:val="24"/>
        </w:rPr>
      </w:pPr>
      <w:r w:rsidRPr="00BC3CBD">
        <w:rPr>
          <w:rFonts w:asciiTheme="minorHAnsi" w:hAnsiTheme="minorHAnsi" w:cstheme="minorHAnsi"/>
          <w:b w:val="0"/>
          <w:bCs/>
          <w:sz w:val="24"/>
          <w:szCs w:val="24"/>
        </w:rPr>
        <w:t>The figure below provides a detailed account of the pairwise comparison conducted for the sub-criteria associated with Secured Funds:</w:t>
      </w:r>
    </w:p>
    <w:p w14:paraId="2E421760" w14:textId="77777777" w:rsidR="00CA6FA0" w:rsidRDefault="00CA6FA0" w:rsidP="00E02AB2">
      <w:pPr>
        <w:pStyle w:val="JudulBab"/>
        <w:spacing w:line="276" w:lineRule="auto"/>
        <w:ind w:firstLine="720"/>
        <w:jc w:val="both"/>
        <w:rPr>
          <w:rFonts w:asciiTheme="minorHAnsi" w:hAnsiTheme="minorHAnsi" w:cstheme="minorHAnsi"/>
          <w:b w:val="0"/>
          <w:bCs/>
          <w:sz w:val="24"/>
          <w:szCs w:val="24"/>
        </w:rPr>
      </w:pPr>
    </w:p>
    <w:p w14:paraId="43F6C31C" w14:textId="4033F794" w:rsidR="00CA6FA0" w:rsidRPr="00F9288A" w:rsidRDefault="00CA6FA0" w:rsidP="00CA6FA0">
      <w:pPr>
        <w:pStyle w:val="JudulBab"/>
        <w:spacing w:line="276" w:lineRule="auto"/>
        <w:ind w:left="147"/>
        <w:rPr>
          <w:rFonts w:asciiTheme="minorHAnsi" w:hAnsiTheme="minorHAnsi" w:cstheme="minorHAnsi"/>
          <w:sz w:val="22"/>
        </w:rPr>
      </w:pPr>
      <w:r w:rsidRPr="00F9288A">
        <w:rPr>
          <w:rFonts w:asciiTheme="minorHAnsi" w:hAnsiTheme="minorHAnsi" w:cstheme="minorHAnsi"/>
          <w:sz w:val="22"/>
        </w:rPr>
        <w:t>Table 4. AHP Group Result for Sub-criteria of Secured Funds</w:t>
      </w:r>
    </w:p>
    <w:tbl>
      <w:tblPr>
        <w:tblStyle w:val="PlainTable2"/>
        <w:tblW w:w="9344" w:type="dxa"/>
        <w:tblLook w:val="04A0" w:firstRow="1" w:lastRow="0" w:firstColumn="1" w:lastColumn="0" w:noHBand="0" w:noVBand="1"/>
      </w:tblPr>
      <w:tblGrid>
        <w:gridCol w:w="1651"/>
        <w:gridCol w:w="2121"/>
        <w:gridCol w:w="2559"/>
        <w:gridCol w:w="2309"/>
        <w:gridCol w:w="704"/>
      </w:tblGrid>
      <w:tr w:rsidR="00BC3CBD" w:rsidRPr="00F9288A" w14:paraId="2C8939BF" w14:textId="77777777" w:rsidTr="00E02AB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342EA473" w14:textId="77777777" w:rsidR="001E3FAB" w:rsidRPr="00F9288A" w:rsidRDefault="001E3FAB" w:rsidP="00A82ED7">
            <w:pPr>
              <w:jc w:val="center"/>
              <w:rPr>
                <w:rFonts w:cstheme="minorHAnsi"/>
                <w:b w:val="0"/>
                <w:bCs w:val="0"/>
              </w:rPr>
            </w:pPr>
            <w:r w:rsidRPr="00F9288A">
              <w:rPr>
                <w:rFonts w:cstheme="minorHAnsi"/>
              </w:rPr>
              <w:t>Participant</w:t>
            </w:r>
          </w:p>
        </w:tc>
        <w:tc>
          <w:tcPr>
            <w:tcW w:w="0" w:type="auto"/>
            <w:hideMark/>
          </w:tcPr>
          <w:p w14:paraId="7C679CA7"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Can ensure client funds are available</w:t>
            </w:r>
          </w:p>
        </w:tc>
        <w:tc>
          <w:tcPr>
            <w:tcW w:w="0" w:type="auto"/>
            <w:hideMark/>
          </w:tcPr>
          <w:p w14:paraId="2DF19A72" w14:textId="7650FC05"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Clients can ensure additional financial suppo</w:t>
            </w:r>
            <w:r w:rsidR="007C589B" w:rsidRPr="00F9288A">
              <w:rPr>
                <w:rFonts w:cstheme="minorHAnsi"/>
              </w:rPr>
              <w:t>rt</w:t>
            </w:r>
          </w:p>
        </w:tc>
        <w:tc>
          <w:tcPr>
            <w:tcW w:w="0" w:type="auto"/>
            <w:hideMark/>
          </w:tcPr>
          <w:p w14:paraId="28BED0EC"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Shares of the project might be sold to get th</w:t>
            </w:r>
          </w:p>
        </w:tc>
        <w:tc>
          <w:tcPr>
            <w:tcW w:w="0" w:type="auto"/>
            <w:hideMark/>
          </w:tcPr>
          <w:p w14:paraId="3B61A87B"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CR</w:t>
            </w:r>
            <w:r w:rsidRPr="00F9288A">
              <w:rPr>
                <w:rFonts w:cstheme="minorHAnsi"/>
                <w:vertAlign w:val="subscript"/>
              </w:rPr>
              <w:t>max</w:t>
            </w:r>
          </w:p>
        </w:tc>
      </w:tr>
      <w:tr w:rsidR="00BC3CBD" w:rsidRPr="00F9288A" w14:paraId="0BA29661"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27791DAB" w14:textId="77777777" w:rsidR="001E3FAB" w:rsidRPr="00F9288A" w:rsidRDefault="001E3FAB" w:rsidP="00A82ED7">
            <w:pPr>
              <w:rPr>
                <w:rFonts w:cstheme="minorHAnsi"/>
              </w:rPr>
            </w:pPr>
            <w:r w:rsidRPr="00F9288A">
              <w:rPr>
                <w:rFonts w:cstheme="minorHAnsi"/>
              </w:rPr>
              <w:t>Group result</w:t>
            </w:r>
          </w:p>
        </w:tc>
        <w:tc>
          <w:tcPr>
            <w:tcW w:w="0" w:type="auto"/>
            <w:hideMark/>
          </w:tcPr>
          <w:p w14:paraId="6C73F552"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47.0%</w:t>
            </w:r>
          </w:p>
        </w:tc>
        <w:tc>
          <w:tcPr>
            <w:tcW w:w="0" w:type="auto"/>
            <w:hideMark/>
          </w:tcPr>
          <w:p w14:paraId="3797409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28.5%</w:t>
            </w:r>
          </w:p>
        </w:tc>
        <w:tc>
          <w:tcPr>
            <w:tcW w:w="0" w:type="auto"/>
            <w:hideMark/>
          </w:tcPr>
          <w:p w14:paraId="409535E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24.5%</w:t>
            </w:r>
          </w:p>
        </w:tc>
        <w:tc>
          <w:tcPr>
            <w:tcW w:w="0" w:type="auto"/>
            <w:hideMark/>
          </w:tcPr>
          <w:p w14:paraId="37427581"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1.0%</w:t>
            </w:r>
          </w:p>
        </w:tc>
      </w:tr>
      <w:tr w:rsidR="00BC3CBD" w:rsidRPr="00F9288A" w14:paraId="37E30CD2" w14:textId="77777777" w:rsidTr="00E02AB2">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76FC9C6" w14:textId="31BC3548" w:rsidR="001E3FAB" w:rsidRPr="00F9288A" w:rsidRDefault="001B5F3E" w:rsidP="00A82ED7">
            <w:pPr>
              <w:rPr>
                <w:rFonts w:cstheme="minorHAnsi"/>
              </w:rPr>
            </w:pPr>
            <w:r w:rsidRPr="00F9288A">
              <w:rPr>
                <w:rFonts w:cstheme="minorHAnsi"/>
              </w:rPr>
              <w:t>Project Supervisor</w:t>
            </w:r>
          </w:p>
        </w:tc>
        <w:tc>
          <w:tcPr>
            <w:tcW w:w="0" w:type="auto"/>
            <w:hideMark/>
          </w:tcPr>
          <w:p w14:paraId="169C9629"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41.3%</w:t>
            </w:r>
          </w:p>
        </w:tc>
        <w:tc>
          <w:tcPr>
            <w:tcW w:w="0" w:type="auto"/>
            <w:hideMark/>
          </w:tcPr>
          <w:p w14:paraId="103965A9"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32.7%</w:t>
            </w:r>
          </w:p>
        </w:tc>
        <w:tc>
          <w:tcPr>
            <w:tcW w:w="0" w:type="auto"/>
            <w:hideMark/>
          </w:tcPr>
          <w:p w14:paraId="04FDB1CE"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26.0%</w:t>
            </w:r>
          </w:p>
        </w:tc>
        <w:tc>
          <w:tcPr>
            <w:tcW w:w="0" w:type="auto"/>
            <w:hideMark/>
          </w:tcPr>
          <w:p w14:paraId="139AE229"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5.6%</w:t>
            </w:r>
          </w:p>
        </w:tc>
      </w:tr>
      <w:tr w:rsidR="00BC3CBD" w:rsidRPr="00F9288A" w14:paraId="60573236"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1C6FAA89" w14:textId="4542E26C" w:rsidR="001E3FAB" w:rsidRPr="00F9288A" w:rsidRDefault="001B5F3E" w:rsidP="00A82ED7">
            <w:pPr>
              <w:rPr>
                <w:rFonts w:cstheme="minorHAnsi"/>
              </w:rPr>
            </w:pPr>
            <w:r w:rsidRPr="00F9288A">
              <w:rPr>
                <w:rFonts w:cstheme="minorHAnsi"/>
              </w:rPr>
              <w:t>Operational Director</w:t>
            </w:r>
          </w:p>
        </w:tc>
        <w:tc>
          <w:tcPr>
            <w:tcW w:w="0" w:type="auto"/>
            <w:hideMark/>
          </w:tcPr>
          <w:p w14:paraId="02EDFFD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23.2%</w:t>
            </w:r>
          </w:p>
        </w:tc>
        <w:tc>
          <w:tcPr>
            <w:tcW w:w="0" w:type="auto"/>
            <w:hideMark/>
          </w:tcPr>
          <w:p w14:paraId="7F7DC707"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18.4%</w:t>
            </w:r>
          </w:p>
        </w:tc>
        <w:tc>
          <w:tcPr>
            <w:tcW w:w="0" w:type="auto"/>
            <w:hideMark/>
          </w:tcPr>
          <w:p w14:paraId="1749608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58.4%</w:t>
            </w:r>
          </w:p>
        </w:tc>
        <w:tc>
          <w:tcPr>
            <w:tcW w:w="0" w:type="auto"/>
            <w:hideMark/>
          </w:tcPr>
          <w:p w14:paraId="75087401"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5.6%</w:t>
            </w:r>
          </w:p>
        </w:tc>
      </w:tr>
      <w:tr w:rsidR="00BC3CBD" w:rsidRPr="00F9288A" w14:paraId="19B8B406" w14:textId="77777777" w:rsidTr="00E02AB2">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0C2E3888" w14:textId="1347532B" w:rsidR="001E3FAB" w:rsidRPr="00F9288A" w:rsidRDefault="001B5F3E" w:rsidP="00A82ED7">
            <w:pPr>
              <w:rPr>
                <w:rFonts w:cstheme="minorHAnsi"/>
              </w:rPr>
            </w:pPr>
            <w:r w:rsidRPr="00F9288A">
              <w:rPr>
                <w:rFonts w:cstheme="minorHAnsi"/>
              </w:rPr>
              <w:t>Finance Director</w:t>
            </w:r>
          </w:p>
        </w:tc>
        <w:tc>
          <w:tcPr>
            <w:tcW w:w="0" w:type="auto"/>
            <w:hideMark/>
          </w:tcPr>
          <w:p w14:paraId="643B76FF"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43.3%</w:t>
            </w:r>
          </w:p>
        </w:tc>
        <w:tc>
          <w:tcPr>
            <w:tcW w:w="0" w:type="auto"/>
            <w:hideMark/>
          </w:tcPr>
          <w:p w14:paraId="5850FA50"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46.6%</w:t>
            </w:r>
          </w:p>
        </w:tc>
        <w:tc>
          <w:tcPr>
            <w:tcW w:w="0" w:type="auto"/>
            <w:hideMark/>
          </w:tcPr>
          <w:p w14:paraId="359FBB8F"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10.0%</w:t>
            </w:r>
          </w:p>
        </w:tc>
        <w:tc>
          <w:tcPr>
            <w:tcW w:w="0" w:type="auto"/>
            <w:hideMark/>
          </w:tcPr>
          <w:p w14:paraId="4BEB3763"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Fonts w:cstheme="minorHAnsi"/>
              </w:rPr>
              <w:t>0.6%</w:t>
            </w:r>
          </w:p>
        </w:tc>
      </w:tr>
      <w:tr w:rsidR="00BC3CBD" w:rsidRPr="00F9288A" w14:paraId="41A1695C" w14:textId="77777777" w:rsidTr="00E02AB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5DDF0299" w14:textId="74EFD977" w:rsidR="001E3FAB" w:rsidRPr="00F9288A" w:rsidRDefault="001B5F3E" w:rsidP="00A82ED7">
            <w:pPr>
              <w:rPr>
                <w:rFonts w:cstheme="minorHAnsi"/>
              </w:rPr>
            </w:pPr>
            <w:r w:rsidRPr="00F9288A">
              <w:rPr>
                <w:rFonts w:cstheme="minorHAnsi"/>
              </w:rPr>
              <w:t>Director</w:t>
            </w:r>
          </w:p>
        </w:tc>
        <w:tc>
          <w:tcPr>
            <w:tcW w:w="0" w:type="auto"/>
            <w:hideMark/>
          </w:tcPr>
          <w:p w14:paraId="4F739F2B"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71.4%</w:t>
            </w:r>
          </w:p>
        </w:tc>
        <w:tc>
          <w:tcPr>
            <w:tcW w:w="0" w:type="auto"/>
            <w:hideMark/>
          </w:tcPr>
          <w:p w14:paraId="21AE0A91"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14.3%</w:t>
            </w:r>
          </w:p>
        </w:tc>
        <w:tc>
          <w:tcPr>
            <w:tcW w:w="0" w:type="auto"/>
            <w:hideMark/>
          </w:tcPr>
          <w:p w14:paraId="2CD81D4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14.3%</w:t>
            </w:r>
          </w:p>
        </w:tc>
        <w:tc>
          <w:tcPr>
            <w:tcW w:w="0" w:type="auto"/>
            <w:hideMark/>
          </w:tcPr>
          <w:p w14:paraId="79E7833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Fonts w:cstheme="minorHAnsi"/>
              </w:rPr>
              <w:t>0.0%</w:t>
            </w:r>
          </w:p>
        </w:tc>
      </w:tr>
    </w:tbl>
    <w:p w14:paraId="1B13F582" w14:textId="77777777" w:rsidR="004E211B" w:rsidRPr="00BC3CBD" w:rsidRDefault="004E211B" w:rsidP="00BC3CBD">
      <w:pPr>
        <w:pStyle w:val="JudulBab"/>
        <w:spacing w:line="276" w:lineRule="auto"/>
        <w:ind w:left="147"/>
        <w:rPr>
          <w:rFonts w:asciiTheme="minorHAnsi" w:hAnsiTheme="minorHAnsi" w:cstheme="minorHAnsi"/>
          <w:b w:val="0"/>
          <w:bCs/>
          <w:sz w:val="24"/>
          <w:szCs w:val="24"/>
        </w:rPr>
      </w:pPr>
    </w:p>
    <w:p w14:paraId="3B0539AD" w14:textId="77777777" w:rsidR="00025CE6" w:rsidRPr="00025CE6" w:rsidRDefault="00025CE6" w:rsidP="00025CE6">
      <w:pPr>
        <w:pStyle w:val="JudulBab"/>
        <w:spacing w:line="276" w:lineRule="auto"/>
        <w:ind w:firstLine="720"/>
        <w:jc w:val="both"/>
        <w:rPr>
          <w:rFonts w:asciiTheme="minorHAnsi" w:hAnsiTheme="minorHAnsi" w:cstheme="minorHAnsi"/>
          <w:b w:val="0"/>
          <w:sz w:val="24"/>
          <w:szCs w:val="24"/>
          <w:lang w:val="id-ID"/>
        </w:rPr>
      </w:pPr>
      <w:r w:rsidRPr="00025CE6">
        <w:rPr>
          <w:rFonts w:asciiTheme="minorHAnsi" w:hAnsiTheme="minorHAnsi" w:cstheme="minorHAnsi"/>
          <w:b w:val="0"/>
          <w:sz w:val="24"/>
          <w:szCs w:val="24"/>
          <w:lang w:val="id-ID"/>
        </w:rPr>
        <w:t>The group results for the Secured Funds category show that the sub-criterion “Can ensure client funds are available” ranks highest (47.0%), emphasizing the importance of securing funds before starting a project. “Clients can provide additional financial support” ranks second (28.5%), highlighting the role of supplementary financial guarantees, while “Shares of the project might be sold” ranks third (24.5%), reflecting alternative funding options. The group consistency ratio (CRmax 1.0%) confirms reliable and valid results, with securing client funds identified as the most critical factor for project success.</w:t>
      </w:r>
    </w:p>
    <w:p w14:paraId="1F649C5D" w14:textId="77777777" w:rsidR="00660D67" w:rsidRPr="00BC3CBD" w:rsidRDefault="00660D67" w:rsidP="002C6AD0">
      <w:pPr>
        <w:pStyle w:val="JudulBab"/>
        <w:spacing w:line="276" w:lineRule="auto"/>
        <w:jc w:val="both"/>
        <w:rPr>
          <w:rFonts w:asciiTheme="minorHAnsi" w:hAnsiTheme="minorHAnsi" w:cstheme="minorHAnsi"/>
          <w:b w:val="0"/>
          <w:bCs/>
          <w:sz w:val="24"/>
          <w:szCs w:val="24"/>
        </w:rPr>
      </w:pPr>
    </w:p>
    <w:p w14:paraId="061706DB" w14:textId="3C6EC505" w:rsidR="00C65D27" w:rsidRPr="00F9288A" w:rsidRDefault="00C65D27" w:rsidP="00BC3CBD">
      <w:pPr>
        <w:pStyle w:val="JudulBab"/>
        <w:spacing w:line="276" w:lineRule="auto"/>
        <w:jc w:val="both"/>
        <w:rPr>
          <w:rFonts w:asciiTheme="minorHAnsi" w:hAnsiTheme="minorHAnsi" w:cstheme="minorHAnsi"/>
          <w:b w:val="0"/>
          <w:bCs/>
          <w:i/>
          <w:iCs/>
          <w:sz w:val="24"/>
          <w:szCs w:val="24"/>
        </w:rPr>
      </w:pPr>
      <w:r w:rsidRPr="00F9288A">
        <w:rPr>
          <w:rFonts w:asciiTheme="minorHAnsi" w:hAnsiTheme="minorHAnsi" w:cstheme="minorHAnsi"/>
          <w:b w:val="0"/>
          <w:bCs/>
          <w:i/>
          <w:iCs/>
          <w:sz w:val="24"/>
          <w:szCs w:val="24"/>
        </w:rPr>
        <w:t>Schedule Management</w:t>
      </w:r>
    </w:p>
    <w:p w14:paraId="0412B64B" w14:textId="6C153ECC" w:rsidR="001E3FAB" w:rsidRDefault="001E3FAB" w:rsidP="00BC3CBD">
      <w:pPr>
        <w:pStyle w:val="JudulBab"/>
        <w:spacing w:line="276" w:lineRule="auto"/>
        <w:ind w:firstLine="709"/>
        <w:jc w:val="both"/>
        <w:rPr>
          <w:rFonts w:asciiTheme="minorHAnsi" w:hAnsiTheme="minorHAnsi" w:cstheme="minorHAnsi"/>
          <w:b w:val="0"/>
          <w:bCs/>
          <w:sz w:val="24"/>
          <w:szCs w:val="24"/>
        </w:rPr>
      </w:pPr>
      <w:r w:rsidRPr="00BC3CBD">
        <w:rPr>
          <w:rFonts w:asciiTheme="minorHAnsi" w:hAnsiTheme="minorHAnsi" w:cstheme="minorHAnsi"/>
          <w:b w:val="0"/>
          <w:bCs/>
          <w:sz w:val="24"/>
          <w:szCs w:val="24"/>
        </w:rPr>
        <w:t>The figure below provides a detailed account of the pairwise comparison conducted for the sub-criteria associated with Schedule Management:</w:t>
      </w:r>
    </w:p>
    <w:p w14:paraId="5F9FCFC4" w14:textId="77777777" w:rsidR="00F9288A" w:rsidRDefault="00F9288A" w:rsidP="00BC3CBD">
      <w:pPr>
        <w:pStyle w:val="JudulBab"/>
        <w:spacing w:line="276" w:lineRule="auto"/>
        <w:ind w:firstLine="709"/>
        <w:jc w:val="both"/>
        <w:rPr>
          <w:rFonts w:asciiTheme="minorHAnsi" w:hAnsiTheme="minorHAnsi" w:cstheme="minorHAnsi"/>
          <w:b w:val="0"/>
          <w:bCs/>
          <w:sz w:val="24"/>
          <w:szCs w:val="24"/>
        </w:rPr>
      </w:pPr>
    </w:p>
    <w:p w14:paraId="40F39EFA" w14:textId="77777777" w:rsidR="00F9288A" w:rsidRDefault="00F9288A" w:rsidP="00BC3CBD">
      <w:pPr>
        <w:pStyle w:val="JudulBab"/>
        <w:spacing w:line="276" w:lineRule="auto"/>
        <w:ind w:firstLine="709"/>
        <w:jc w:val="both"/>
        <w:rPr>
          <w:rFonts w:asciiTheme="minorHAnsi" w:hAnsiTheme="minorHAnsi" w:cstheme="minorHAnsi"/>
          <w:b w:val="0"/>
          <w:bCs/>
          <w:sz w:val="24"/>
          <w:szCs w:val="24"/>
        </w:rPr>
      </w:pPr>
    </w:p>
    <w:p w14:paraId="30151042" w14:textId="77777777" w:rsidR="00F9288A" w:rsidRPr="00BC3CBD" w:rsidRDefault="00F9288A" w:rsidP="00BC3CBD">
      <w:pPr>
        <w:pStyle w:val="JudulBab"/>
        <w:spacing w:line="276" w:lineRule="auto"/>
        <w:ind w:firstLine="709"/>
        <w:jc w:val="both"/>
        <w:rPr>
          <w:rFonts w:asciiTheme="minorHAnsi" w:hAnsiTheme="minorHAnsi" w:cstheme="minorHAnsi"/>
          <w:b w:val="0"/>
          <w:bCs/>
          <w:sz w:val="24"/>
          <w:szCs w:val="24"/>
        </w:rPr>
      </w:pPr>
    </w:p>
    <w:p w14:paraId="73DE303F" w14:textId="00209126" w:rsidR="007C589B" w:rsidRDefault="007C589B" w:rsidP="00BC3CBD">
      <w:pPr>
        <w:pStyle w:val="JudulBab"/>
        <w:spacing w:line="276" w:lineRule="auto"/>
        <w:jc w:val="left"/>
        <w:rPr>
          <w:rFonts w:asciiTheme="minorHAnsi" w:hAnsiTheme="minorHAnsi" w:cstheme="minorHAnsi"/>
          <w:b w:val="0"/>
          <w:bCs/>
          <w:sz w:val="24"/>
          <w:szCs w:val="24"/>
        </w:rPr>
      </w:pPr>
    </w:p>
    <w:p w14:paraId="6B713293" w14:textId="38D328B2" w:rsidR="00CA6FA0" w:rsidRPr="00F9288A" w:rsidRDefault="00CA6FA0" w:rsidP="00CA6FA0">
      <w:pPr>
        <w:pStyle w:val="JudulBab"/>
        <w:spacing w:line="276" w:lineRule="auto"/>
        <w:rPr>
          <w:rFonts w:asciiTheme="minorHAnsi" w:hAnsiTheme="minorHAnsi" w:cstheme="minorHAnsi"/>
          <w:sz w:val="22"/>
        </w:rPr>
      </w:pPr>
      <w:r w:rsidRPr="00F9288A">
        <w:rPr>
          <w:rFonts w:asciiTheme="minorHAnsi" w:hAnsiTheme="minorHAnsi" w:cstheme="minorHAnsi"/>
          <w:sz w:val="22"/>
        </w:rPr>
        <w:lastRenderedPageBreak/>
        <w:t>Table 5. AHP Group Result for Sub-criteria of Schedule Management</w:t>
      </w:r>
    </w:p>
    <w:tbl>
      <w:tblPr>
        <w:tblStyle w:val="PlainTable2"/>
        <w:tblW w:w="9344" w:type="dxa"/>
        <w:tblLook w:val="04A0" w:firstRow="1" w:lastRow="0" w:firstColumn="1" w:lastColumn="0" w:noHBand="0" w:noVBand="1"/>
      </w:tblPr>
      <w:tblGrid>
        <w:gridCol w:w="1473"/>
        <w:gridCol w:w="1601"/>
        <w:gridCol w:w="1831"/>
        <w:gridCol w:w="1871"/>
        <w:gridCol w:w="1864"/>
        <w:gridCol w:w="704"/>
      </w:tblGrid>
      <w:tr w:rsidR="00BC3CBD" w:rsidRPr="00F9288A" w14:paraId="664AC3FC" w14:textId="77777777" w:rsidTr="00A82ED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5CE80C9F" w14:textId="77777777" w:rsidR="001E3FAB" w:rsidRPr="00F9288A" w:rsidRDefault="001E3FAB" w:rsidP="00A82ED7">
            <w:pPr>
              <w:jc w:val="center"/>
              <w:rPr>
                <w:rFonts w:cstheme="minorHAnsi"/>
                <w:b w:val="0"/>
                <w:bCs w:val="0"/>
              </w:rPr>
            </w:pPr>
            <w:r w:rsidRPr="00F9288A">
              <w:rPr>
                <w:rFonts w:cstheme="minorHAnsi"/>
              </w:rPr>
              <w:t>Participant</w:t>
            </w:r>
          </w:p>
        </w:tc>
        <w:tc>
          <w:tcPr>
            <w:tcW w:w="0" w:type="auto"/>
            <w:hideMark/>
          </w:tcPr>
          <w:p w14:paraId="4D392480"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There are experts coming from the project cli</w:t>
            </w:r>
          </w:p>
        </w:tc>
        <w:tc>
          <w:tcPr>
            <w:tcW w:w="0" w:type="auto"/>
            <w:hideMark/>
          </w:tcPr>
          <w:p w14:paraId="243A1C31"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Realistic job scheduling and presented in adv</w:t>
            </w:r>
          </w:p>
        </w:tc>
        <w:tc>
          <w:tcPr>
            <w:tcW w:w="0" w:type="auto"/>
            <w:hideMark/>
          </w:tcPr>
          <w:p w14:paraId="64584789"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Not too many restrictions for project supervi</w:t>
            </w:r>
          </w:p>
        </w:tc>
        <w:tc>
          <w:tcPr>
            <w:tcW w:w="0" w:type="auto"/>
            <w:hideMark/>
          </w:tcPr>
          <w:p w14:paraId="29BD3467"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Scheduling of term payments is clearly guaran</w:t>
            </w:r>
          </w:p>
        </w:tc>
        <w:tc>
          <w:tcPr>
            <w:tcW w:w="0" w:type="auto"/>
            <w:hideMark/>
          </w:tcPr>
          <w:p w14:paraId="5A9020E4"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CR</w:t>
            </w:r>
            <w:r w:rsidRPr="00F9288A">
              <w:rPr>
                <w:rFonts w:cstheme="minorHAnsi"/>
                <w:vertAlign w:val="subscript"/>
              </w:rPr>
              <w:t>max</w:t>
            </w:r>
          </w:p>
        </w:tc>
      </w:tr>
      <w:tr w:rsidR="00BC3CBD" w:rsidRPr="00F9288A" w14:paraId="0EF8CE5E" w14:textId="77777777" w:rsidTr="00A82ED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5D4D8FBC" w14:textId="77777777" w:rsidR="001E3FAB" w:rsidRPr="00F9288A" w:rsidRDefault="001E3FAB" w:rsidP="00A82ED7">
            <w:pPr>
              <w:rPr>
                <w:rFonts w:cstheme="minorHAnsi"/>
                <w:b w:val="0"/>
                <w:bCs w:val="0"/>
              </w:rPr>
            </w:pPr>
            <w:r w:rsidRPr="00F9288A">
              <w:rPr>
                <w:rStyle w:val="Strong"/>
                <w:rFonts w:cstheme="minorHAnsi"/>
                <w:b/>
                <w:bCs/>
              </w:rPr>
              <w:t>Group result</w:t>
            </w:r>
          </w:p>
        </w:tc>
        <w:tc>
          <w:tcPr>
            <w:tcW w:w="0" w:type="auto"/>
            <w:hideMark/>
          </w:tcPr>
          <w:p w14:paraId="038FFC70"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24.3%</w:t>
            </w:r>
          </w:p>
        </w:tc>
        <w:tc>
          <w:tcPr>
            <w:tcW w:w="0" w:type="auto"/>
            <w:hideMark/>
          </w:tcPr>
          <w:p w14:paraId="45D3FFB2"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19.4%</w:t>
            </w:r>
          </w:p>
        </w:tc>
        <w:tc>
          <w:tcPr>
            <w:tcW w:w="0" w:type="auto"/>
            <w:hideMark/>
          </w:tcPr>
          <w:p w14:paraId="7105338A"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27.1%</w:t>
            </w:r>
          </w:p>
        </w:tc>
        <w:tc>
          <w:tcPr>
            <w:tcW w:w="0" w:type="auto"/>
            <w:hideMark/>
          </w:tcPr>
          <w:p w14:paraId="6F973A3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29.1%</w:t>
            </w:r>
          </w:p>
        </w:tc>
        <w:tc>
          <w:tcPr>
            <w:tcW w:w="0" w:type="auto"/>
            <w:hideMark/>
          </w:tcPr>
          <w:p w14:paraId="17A0CD83"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0.5%</w:t>
            </w:r>
          </w:p>
        </w:tc>
      </w:tr>
      <w:tr w:rsidR="00BC3CBD" w:rsidRPr="00F9288A" w14:paraId="5052BEBB" w14:textId="77777777" w:rsidTr="00A82ED7">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A11B354" w14:textId="7C63E487" w:rsidR="001E3FAB" w:rsidRPr="00F9288A" w:rsidRDefault="001B5F3E" w:rsidP="00A82ED7">
            <w:pPr>
              <w:rPr>
                <w:rFonts w:cstheme="minorHAnsi"/>
              </w:rPr>
            </w:pPr>
            <w:r w:rsidRPr="00F9288A">
              <w:rPr>
                <w:rFonts w:cstheme="minorHAnsi"/>
              </w:rPr>
              <w:t>Project Supervisor</w:t>
            </w:r>
          </w:p>
        </w:tc>
        <w:tc>
          <w:tcPr>
            <w:tcW w:w="0" w:type="auto"/>
            <w:hideMark/>
          </w:tcPr>
          <w:p w14:paraId="14198CCA"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50.4%</w:t>
            </w:r>
          </w:p>
        </w:tc>
        <w:tc>
          <w:tcPr>
            <w:tcW w:w="0" w:type="auto"/>
            <w:hideMark/>
          </w:tcPr>
          <w:p w14:paraId="333ACAD2"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21.3%</w:t>
            </w:r>
          </w:p>
        </w:tc>
        <w:tc>
          <w:tcPr>
            <w:tcW w:w="0" w:type="auto"/>
            <w:hideMark/>
          </w:tcPr>
          <w:p w14:paraId="71839EEC"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21.8%</w:t>
            </w:r>
          </w:p>
        </w:tc>
        <w:tc>
          <w:tcPr>
            <w:tcW w:w="0" w:type="auto"/>
            <w:hideMark/>
          </w:tcPr>
          <w:p w14:paraId="6174AC42"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6.5%</w:t>
            </w:r>
          </w:p>
        </w:tc>
        <w:tc>
          <w:tcPr>
            <w:tcW w:w="0" w:type="auto"/>
            <w:hideMark/>
          </w:tcPr>
          <w:p w14:paraId="540148CD"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1.3%</w:t>
            </w:r>
          </w:p>
        </w:tc>
      </w:tr>
      <w:tr w:rsidR="00BC3CBD" w:rsidRPr="00F9288A" w14:paraId="40271060" w14:textId="77777777" w:rsidTr="00A82ED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116BF91B" w14:textId="2654CA4C" w:rsidR="001E3FAB" w:rsidRPr="00F9288A" w:rsidRDefault="001B5F3E" w:rsidP="00A82ED7">
            <w:pPr>
              <w:rPr>
                <w:rFonts w:cstheme="minorHAnsi"/>
              </w:rPr>
            </w:pPr>
            <w:r w:rsidRPr="00F9288A">
              <w:rPr>
                <w:rFonts w:cstheme="minorHAnsi"/>
              </w:rPr>
              <w:t>Operational Director</w:t>
            </w:r>
          </w:p>
        </w:tc>
        <w:tc>
          <w:tcPr>
            <w:tcW w:w="0" w:type="auto"/>
            <w:hideMark/>
          </w:tcPr>
          <w:p w14:paraId="76404D3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50.6%</w:t>
            </w:r>
          </w:p>
        </w:tc>
        <w:tc>
          <w:tcPr>
            <w:tcW w:w="0" w:type="auto"/>
            <w:hideMark/>
          </w:tcPr>
          <w:p w14:paraId="1BDFDB21"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21.5%</w:t>
            </w:r>
          </w:p>
        </w:tc>
        <w:tc>
          <w:tcPr>
            <w:tcW w:w="0" w:type="auto"/>
            <w:hideMark/>
          </w:tcPr>
          <w:p w14:paraId="75E63CDA"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15.3%</w:t>
            </w:r>
          </w:p>
        </w:tc>
        <w:tc>
          <w:tcPr>
            <w:tcW w:w="0" w:type="auto"/>
            <w:hideMark/>
          </w:tcPr>
          <w:p w14:paraId="1CB97C6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12.6%</w:t>
            </w:r>
          </w:p>
        </w:tc>
        <w:tc>
          <w:tcPr>
            <w:tcW w:w="0" w:type="auto"/>
            <w:hideMark/>
          </w:tcPr>
          <w:p w14:paraId="12E6ED37"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2.2%</w:t>
            </w:r>
          </w:p>
        </w:tc>
      </w:tr>
      <w:tr w:rsidR="00BC3CBD" w:rsidRPr="00F9288A" w14:paraId="4AB480EE" w14:textId="77777777" w:rsidTr="00A82ED7">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35AC11F6" w14:textId="04D7DE12" w:rsidR="001E3FAB" w:rsidRPr="00F9288A" w:rsidRDefault="001B5F3E" w:rsidP="00A82ED7">
            <w:pPr>
              <w:rPr>
                <w:rFonts w:cstheme="minorHAnsi"/>
              </w:rPr>
            </w:pPr>
            <w:r w:rsidRPr="00F9288A">
              <w:rPr>
                <w:rFonts w:cstheme="minorHAnsi"/>
              </w:rPr>
              <w:t>Finance Director</w:t>
            </w:r>
          </w:p>
        </w:tc>
        <w:tc>
          <w:tcPr>
            <w:tcW w:w="0" w:type="auto"/>
            <w:hideMark/>
          </w:tcPr>
          <w:p w14:paraId="2539D11A"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7.0%</w:t>
            </w:r>
          </w:p>
        </w:tc>
        <w:tc>
          <w:tcPr>
            <w:tcW w:w="0" w:type="auto"/>
            <w:hideMark/>
          </w:tcPr>
          <w:p w14:paraId="361797E8"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10.4%</w:t>
            </w:r>
          </w:p>
        </w:tc>
        <w:tc>
          <w:tcPr>
            <w:tcW w:w="0" w:type="auto"/>
            <w:hideMark/>
          </w:tcPr>
          <w:p w14:paraId="422B615E"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34.5%</w:t>
            </w:r>
          </w:p>
        </w:tc>
        <w:tc>
          <w:tcPr>
            <w:tcW w:w="0" w:type="auto"/>
            <w:hideMark/>
          </w:tcPr>
          <w:p w14:paraId="154334EF"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48.1%</w:t>
            </w:r>
          </w:p>
        </w:tc>
        <w:tc>
          <w:tcPr>
            <w:tcW w:w="0" w:type="auto"/>
            <w:hideMark/>
          </w:tcPr>
          <w:p w14:paraId="4E5269DF"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4.1%</w:t>
            </w:r>
          </w:p>
        </w:tc>
      </w:tr>
      <w:tr w:rsidR="00BC3CBD" w:rsidRPr="00F9288A" w14:paraId="4D432EAE" w14:textId="77777777" w:rsidTr="00A82ED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09C2FA0A" w14:textId="50927762" w:rsidR="001E3FAB" w:rsidRPr="00F9288A" w:rsidRDefault="001B5F3E" w:rsidP="00A82ED7">
            <w:pPr>
              <w:rPr>
                <w:rFonts w:cstheme="minorHAnsi"/>
              </w:rPr>
            </w:pPr>
            <w:r w:rsidRPr="00F9288A">
              <w:rPr>
                <w:rFonts w:cstheme="minorHAnsi"/>
              </w:rPr>
              <w:t>Director</w:t>
            </w:r>
          </w:p>
        </w:tc>
        <w:tc>
          <w:tcPr>
            <w:tcW w:w="0" w:type="auto"/>
            <w:hideMark/>
          </w:tcPr>
          <w:p w14:paraId="17FF015D"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6.9%</w:t>
            </w:r>
          </w:p>
        </w:tc>
        <w:tc>
          <w:tcPr>
            <w:tcW w:w="0" w:type="auto"/>
            <w:hideMark/>
          </w:tcPr>
          <w:p w14:paraId="2CE41B50"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10.6%</w:t>
            </w:r>
          </w:p>
        </w:tc>
        <w:tc>
          <w:tcPr>
            <w:tcW w:w="0" w:type="auto"/>
            <w:hideMark/>
          </w:tcPr>
          <w:p w14:paraId="45F88D53"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16.8%</w:t>
            </w:r>
          </w:p>
        </w:tc>
        <w:tc>
          <w:tcPr>
            <w:tcW w:w="0" w:type="auto"/>
            <w:hideMark/>
          </w:tcPr>
          <w:p w14:paraId="6B528B02"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65.6%</w:t>
            </w:r>
          </w:p>
        </w:tc>
        <w:tc>
          <w:tcPr>
            <w:tcW w:w="0" w:type="auto"/>
            <w:hideMark/>
          </w:tcPr>
          <w:p w14:paraId="58ABAE1B"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5.2%</w:t>
            </w:r>
          </w:p>
        </w:tc>
      </w:tr>
    </w:tbl>
    <w:p w14:paraId="271E776C" w14:textId="77777777" w:rsidR="007346AA" w:rsidRPr="00BC3CBD" w:rsidRDefault="007346AA" w:rsidP="00BC3CBD">
      <w:pPr>
        <w:pStyle w:val="JudulBab"/>
        <w:spacing w:line="276" w:lineRule="auto"/>
        <w:jc w:val="both"/>
        <w:rPr>
          <w:rFonts w:asciiTheme="minorHAnsi" w:hAnsiTheme="minorHAnsi" w:cstheme="minorHAnsi"/>
          <w:b w:val="0"/>
          <w:bCs/>
          <w:sz w:val="24"/>
          <w:szCs w:val="24"/>
        </w:rPr>
      </w:pPr>
    </w:p>
    <w:p w14:paraId="6AEB5D51" w14:textId="77777777" w:rsidR="00103CA0" w:rsidRPr="00103CA0" w:rsidRDefault="00103CA0" w:rsidP="00CA6FA0">
      <w:pPr>
        <w:pStyle w:val="JudulBab"/>
        <w:spacing w:line="276" w:lineRule="auto"/>
        <w:ind w:firstLine="720"/>
        <w:jc w:val="both"/>
        <w:rPr>
          <w:rFonts w:asciiTheme="minorHAnsi" w:hAnsiTheme="minorHAnsi" w:cstheme="minorHAnsi"/>
          <w:b w:val="0"/>
          <w:sz w:val="24"/>
          <w:szCs w:val="24"/>
          <w:lang w:val="id-ID"/>
        </w:rPr>
      </w:pPr>
      <w:bookmarkStart w:id="6" w:name="_Toc180865396"/>
      <w:bookmarkStart w:id="7" w:name="_Toc184220850"/>
      <w:r w:rsidRPr="00103CA0">
        <w:rPr>
          <w:rFonts w:asciiTheme="minorHAnsi" w:hAnsiTheme="minorHAnsi" w:cstheme="minorHAnsi"/>
          <w:b w:val="0"/>
          <w:sz w:val="24"/>
          <w:szCs w:val="24"/>
          <w:lang w:val="id-ID"/>
        </w:rPr>
        <w:t>The Schedule Management analysis prioritizes four sub-criteria with a high group consistency (CRmax 0.5%). The top priority is “Scheduling of term payments is guaranteed” (29.1%), stressing the importance of clear and reliable payment schedules. “Few restrictions for project supervision” ranks second (27.1%), emphasizing the need for supervisory flexibility. Third is “Experts come from the project client” (24.3%), highlighting client expertise, while “Realistic job scheduling” (19.4%) ranks fourth, showing its lower relative importance.</w:t>
      </w:r>
    </w:p>
    <w:p w14:paraId="7B71484D" w14:textId="71CF54CE" w:rsidR="00486896" w:rsidRDefault="00103CA0" w:rsidP="00CA6FA0">
      <w:pPr>
        <w:pStyle w:val="JudulBab"/>
        <w:spacing w:line="276" w:lineRule="auto"/>
        <w:ind w:firstLine="720"/>
        <w:jc w:val="both"/>
        <w:rPr>
          <w:rFonts w:asciiTheme="minorHAnsi" w:hAnsiTheme="minorHAnsi" w:cstheme="minorHAnsi"/>
          <w:b w:val="0"/>
          <w:sz w:val="24"/>
          <w:szCs w:val="24"/>
          <w:lang w:val="id-ID"/>
        </w:rPr>
      </w:pPr>
      <w:r w:rsidRPr="00103CA0">
        <w:rPr>
          <w:rFonts w:asciiTheme="minorHAnsi" w:hAnsiTheme="minorHAnsi" w:cstheme="minorHAnsi"/>
          <w:b w:val="0"/>
          <w:sz w:val="24"/>
          <w:szCs w:val="24"/>
          <w:lang w:val="id-ID"/>
        </w:rPr>
        <w:t>In the overall decision hierarchy, the top global priority is the “Contract review period available before signing” (15.0%), followed by “Ensuring client funds are available” (14.5%), “Scheduling of term payments guaranteed” (9.8%), and “Few restrictions for project supervision” (9.1%). These priorities underline the importance of contract readiness, financial assurance, payment clarity, and supervisory flexibility in selecting the best project for CV Maezurra Indotama.</w:t>
      </w:r>
    </w:p>
    <w:p w14:paraId="1175DB64" w14:textId="77777777" w:rsidR="00660D67" w:rsidRPr="00660D67" w:rsidRDefault="00660D67" w:rsidP="00660D67">
      <w:pPr>
        <w:pStyle w:val="JudulBab"/>
        <w:spacing w:line="276" w:lineRule="auto"/>
        <w:ind w:firstLine="720"/>
        <w:jc w:val="both"/>
        <w:outlineLvl w:val="2"/>
        <w:rPr>
          <w:rFonts w:asciiTheme="minorHAnsi" w:hAnsiTheme="minorHAnsi" w:cstheme="minorHAnsi"/>
          <w:b w:val="0"/>
          <w:sz w:val="24"/>
          <w:szCs w:val="24"/>
          <w:lang w:val="id-ID"/>
        </w:rPr>
      </w:pPr>
    </w:p>
    <w:p w14:paraId="1A65C073" w14:textId="668AA6CF" w:rsidR="001E3FAB" w:rsidRPr="00F9288A" w:rsidRDefault="001E3FAB" w:rsidP="00BC3CBD">
      <w:pPr>
        <w:pStyle w:val="JudulBab"/>
        <w:spacing w:line="276" w:lineRule="auto"/>
        <w:jc w:val="both"/>
        <w:outlineLvl w:val="2"/>
        <w:rPr>
          <w:rFonts w:asciiTheme="minorHAnsi" w:hAnsiTheme="minorHAnsi" w:cstheme="minorHAnsi"/>
          <w:b w:val="0"/>
          <w:bCs/>
          <w:i/>
          <w:iCs/>
          <w:sz w:val="24"/>
          <w:szCs w:val="24"/>
        </w:rPr>
      </w:pPr>
      <w:r w:rsidRPr="00F9288A">
        <w:rPr>
          <w:rFonts w:asciiTheme="minorHAnsi" w:hAnsiTheme="minorHAnsi" w:cstheme="minorHAnsi"/>
          <w:b w:val="0"/>
          <w:bCs/>
          <w:i/>
          <w:iCs/>
          <w:sz w:val="24"/>
          <w:szCs w:val="24"/>
        </w:rPr>
        <w:t>Outcome of Pairwise Comparison for Sub Criteria With Alternative</w:t>
      </w:r>
      <w:bookmarkStart w:id="8" w:name="_Toc180865397"/>
      <w:bookmarkEnd w:id="6"/>
      <w:bookmarkEnd w:id="7"/>
      <w:bookmarkEnd w:id="8"/>
    </w:p>
    <w:p w14:paraId="186CB0D7" w14:textId="77777777" w:rsidR="00EA6A53" w:rsidRDefault="00EA6A53" w:rsidP="00EA6A53">
      <w:pPr>
        <w:spacing w:after="0" w:line="276" w:lineRule="auto"/>
        <w:ind w:firstLine="720"/>
        <w:jc w:val="both"/>
        <w:rPr>
          <w:rFonts w:cstheme="minorHAnsi"/>
          <w:bCs/>
          <w:sz w:val="24"/>
          <w:szCs w:val="24"/>
          <w:lang w:val="id-ID"/>
        </w:rPr>
      </w:pPr>
      <w:r w:rsidRPr="00EA6A53">
        <w:rPr>
          <w:rFonts w:cstheme="minorHAnsi"/>
          <w:bCs/>
          <w:sz w:val="24"/>
          <w:szCs w:val="24"/>
          <w:lang w:val="id-ID"/>
        </w:rPr>
        <w:t>In the second phase, the same group of experts completed a paired comparison to assess the importance of each criterion. Rankings for factors related to alternatives were then weighted and multiplied by their respective criteria, generating a priority index that indicates how well each alternative aligns with the sub-criteria.</w:t>
      </w:r>
    </w:p>
    <w:p w14:paraId="34686720" w14:textId="77777777" w:rsidR="00544E5F" w:rsidRPr="00F9288A" w:rsidRDefault="00544E5F" w:rsidP="00EA6A53">
      <w:pPr>
        <w:spacing w:after="0" w:line="276" w:lineRule="auto"/>
        <w:ind w:firstLine="720"/>
        <w:jc w:val="both"/>
        <w:rPr>
          <w:rFonts w:cstheme="minorHAnsi"/>
          <w:bCs/>
          <w:sz w:val="16"/>
          <w:szCs w:val="16"/>
          <w:lang w:val="id-ID"/>
        </w:rPr>
      </w:pPr>
    </w:p>
    <w:p w14:paraId="3C349413" w14:textId="32198C5F" w:rsidR="00CA6FA0" w:rsidRPr="00F9288A" w:rsidRDefault="00CA6FA0" w:rsidP="00CA6FA0">
      <w:pPr>
        <w:spacing w:after="0" w:line="276" w:lineRule="auto"/>
        <w:jc w:val="center"/>
        <w:rPr>
          <w:rFonts w:cstheme="minorHAnsi"/>
          <w:b/>
          <w:bCs/>
        </w:rPr>
      </w:pPr>
      <w:r w:rsidRPr="00F9288A">
        <w:rPr>
          <w:rFonts w:cstheme="minorHAnsi"/>
          <w:b/>
          <w:bCs/>
        </w:rPr>
        <w:t>Table 6. Alternatives by Participants</w:t>
      </w:r>
    </w:p>
    <w:tbl>
      <w:tblPr>
        <w:tblStyle w:val="PlainTable2"/>
        <w:tblW w:w="0" w:type="auto"/>
        <w:tblLook w:val="04A0" w:firstRow="1" w:lastRow="0" w:firstColumn="1" w:lastColumn="0" w:noHBand="0" w:noVBand="1"/>
      </w:tblPr>
      <w:tblGrid>
        <w:gridCol w:w="1627"/>
        <w:gridCol w:w="2244"/>
        <w:gridCol w:w="2646"/>
        <w:gridCol w:w="1805"/>
        <w:gridCol w:w="704"/>
      </w:tblGrid>
      <w:tr w:rsidR="00BC3CBD" w:rsidRPr="00F9288A" w14:paraId="368A8A41" w14:textId="77777777" w:rsidTr="00F9288A">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02727B7E" w14:textId="77777777" w:rsidR="001E3FAB" w:rsidRPr="00F9288A" w:rsidRDefault="001E3FAB" w:rsidP="00A82ED7">
            <w:pPr>
              <w:jc w:val="center"/>
              <w:rPr>
                <w:rFonts w:cstheme="minorHAnsi"/>
                <w:b w:val="0"/>
                <w:bCs w:val="0"/>
              </w:rPr>
            </w:pPr>
            <w:r w:rsidRPr="00F9288A">
              <w:rPr>
                <w:rFonts w:cstheme="minorHAnsi"/>
              </w:rPr>
              <w:t>Participant</w:t>
            </w:r>
          </w:p>
        </w:tc>
        <w:tc>
          <w:tcPr>
            <w:tcW w:w="0" w:type="auto"/>
            <w:hideMark/>
          </w:tcPr>
          <w:p w14:paraId="7CF83B1B"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Irrigation Canal Construction Project</w:t>
            </w:r>
          </w:p>
        </w:tc>
        <w:tc>
          <w:tcPr>
            <w:tcW w:w="0" w:type="auto"/>
            <w:hideMark/>
          </w:tcPr>
          <w:p w14:paraId="5A006CB3"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Government Public Hospital Renovation Project</w:t>
            </w:r>
          </w:p>
        </w:tc>
        <w:tc>
          <w:tcPr>
            <w:tcW w:w="0" w:type="auto"/>
            <w:hideMark/>
          </w:tcPr>
          <w:p w14:paraId="5D57038A"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School Renovation Project</w:t>
            </w:r>
          </w:p>
        </w:tc>
        <w:tc>
          <w:tcPr>
            <w:tcW w:w="0" w:type="auto"/>
            <w:hideMark/>
          </w:tcPr>
          <w:p w14:paraId="6E2FB047" w14:textId="77777777" w:rsidR="001E3FAB" w:rsidRPr="00F9288A" w:rsidRDefault="001E3FAB" w:rsidP="00A82E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9288A">
              <w:rPr>
                <w:rFonts w:cstheme="minorHAnsi"/>
              </w:rPr>
              <w:t>CR</w:t>
            </w:r>
            <w:r w:rsidRPr="00F9288A">
              <w:rPr>
                <w:rFonts w:cstheme="minorHAnsi"/>
                <w:vertAlign w:val="subscript"/>
              </w:rPr>
              <w:t>max</w:t>
            </w:r>
          </w:p>
        </w:tc>
      </w:tr>
      <w:tr w:rsidR="00BC3CBD" w:rsidRPr="00F9288A" w14:paraId="76F25B0C"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7BE6C031" w14:textId="77777777" w:rsidR="001E3FAB" w:rsidRPr="00F9288A" w:rsidRDefault="001E3FAB" w:rsidP="00A82ED7">
            <w:pPr>
              <w:rPr>
                <w:rFonts w:cstheme="minorHAnsi"/>
                <w:b w:val="0"/>
                <w:bCs w:val="0"/>
              </w:rPr>
            </w:pPr>
            <w:r w:rsidRPr="00F9288A">
              <w:rPr>
                <w:rStyle w:val="Strong"/>
                <w:rFonts w:cstheme="minorHAnsi"/>
                <w:b/>
                <w:bCs/>
              </w:rPr>
              <w:t>Group result</w:t>
            </w:r>
          </w:p>
        </w:tc>
        <w:tc>
          <w:tcPr>
            <w:tcW w:w="0" w:type="auto"/>
            <w:hideMark/>
          </w:tcPr>
          <w:p w14:paraId="5E681D2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32.4%</w:t>
            </w:r>
          </w:p>
        </w:tc>
        <w:tc>
          <w:tcPr>
            <w:tcW w:w="0" w:type="auto"/>
            <w:hideMark/>
          </w:tcPr>
          <w:p w14:paraId="5B34071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33.6%</w:t>
            </w:r>
          </w:p>
        </w:tc>
        <w:tc>
          <w:tcPr>
            <w:tcW w:w="0" w:type="auto"/>
            <w:hideMark/>
          </w:tcPr>
          <w:p w14:paraId="7601AD1D"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34.0%</w:t>
            </w:r>
          </w:p>
        </w:tc>
        <w:tc>
          <w:tcPr>
            <w:tcW w:w="0" w:type="auto"/>
            <w:hideMark/>
          </w:tcPr>
          <w:p w14:paraId="395B199C"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1.3%</w:t>
            </w:r>
          </w:p>
        </w:tc>
      </w:tr>
      <w:tr w:rsidR="00BC3CBD" w:rsidRPr="00F9288A" w14:paraId="67A1D3D3" w14:textId="77777777" w:rsidTr="00F9288A">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4A9BD258" w14:textId="67347DAB" w:rsidR="001E3FAB" w:rsidRPr="00F9288A" w:rsidRDefault="001B5F3E" w:rsidP="00A82ED7">
            <w:pPr>
              <w:rPr>
                <w:rFonts w:cstheme="minorHAnsi"/>
              </w:rPr>
            </w:pPr>
            <w:r w:rsidRPr="00F9288A">
              <w:rPr>
                <w:rFonts w:cstheme="minorHAnsi"/>
              </w:rPr>
              <w:t>Project Supervisor</w:t>
            </w:r>
          </w:p>
        </w:tc>
        <w:tc>
          <w:tcPr>
            <w:tcW w:w="0" w:type="auto"/>
            <w:hideMark/>
          </w:tcPr>
          <w:p w14:paraId="56E164E4"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29.3%</w:t>
            </w:r>
          </w:p>
        </w:tc>
        <w:tc>
          <w:tcPr>
            <w:tcW w:w="0" w:type="auto"/>
            <w:hideMark/>
          </w:tcPr>
          <w:p w14:paraId="1FE86063"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22.3%</w:t>
            </w:r>
          </w:p>
        </w:tc>
        <w:tc>
          <w:tcPr>
            <w:tcW w:w="0" w:type="auto"/>
            <w:hideMark/>
          </w:tcPr>
          <w:p w14:paraId="30C67C79"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48.4%</w:t>
            </w:r>
          </w:p>
        </w:tc>
        <w:tc>
          <w:tcPr>
            <w:tcW w:w="0" w:type="auto"/>
            <w:hideMark/>
          </w:tcPr>
          <w:p w14:paraId="49A204E0"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5.6%</w:t>
            </w:r>
          </w:p>
        </w:tc>
      </w:tr>
      <w:tr w:rsidR="00BC3CBD" w:rsidRPr="00F9288A" w14:paraId="07424D03"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4648264F" w14:textId="71AF2777" w:rsidR="001E3FAB" w:rsidRPr="00F9288A" w:rsidRDefault="001B5F3E" w:rsidP="00A82ED7">
            <w:pPr>
              <w:rPr>
                <w:rFonts w:cstheme="minorHAnsi"/>
              </w:rPr>
            </w:pPr>
            <w:r w:rsidRPr="00F9288A">
              <w:rPr>
                <w:rFonts w:cstheme="minorHAnsi"/>
              </w:rPr>
              <w:t>Operational Director</w:t>
            </w:r>
          </w:p>
        </w:tc>
        <w:tc>
          <w:tcPr>
            <w:tcW w:w="0" w:type="auto"/>
            <w:hideMark/>
          </w:tcPr>
          <w:p w14:paraId="58F28AAD"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43.6%</w:t>
            </w:r>
          </w:p>
        </w:tc>
        <w:tc>
          <w:tcPr>
            <w:tcW w:w="0" w:type="auto"/>
            <w:hideMark/>
          </w:tcPr>
          <w:p w14:paraId="6BBEF0DA"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34.7%</w:t>
            </w:r>
          </w:p>
        </w:tc>
        <w:tc>
          <w:tcPr>
            <w:tcW w:w="0" w:type="auto"/>
            <w:hideMark/>
          </w:tcPr>
          <w:p w14:paraId="172ACB84"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21.7%</w:t>
            </w:r>
          </w:p>
        </w:tc>
        <w:tc>
          <w:tcPr>
            <w:tcW w:w="0" w:type="auto"/>
            <w:hideMark/>
          </w:tcPr>
          <w:p w14:paraId="5FCE4538"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3.0%</w:t>
            </w:r>
          </w:p>
        </w:tc>
      </w:tr>
      <w:tr w:rsidR="00BC3CBD" w:rsidRPr="00F9288A" w14:paraId="55FA993F" w14:textId="77777777" w:rsidTr="00F9288A">
        <w:trPr>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15913380" w14:textId="0860594A" w:rsidR="001E3FAB" w:rsidRPr="00F9288A" w:rsidRDefault="001B5F3E" w:rsidP="00A82ED7">
            <w:pPr>
              <w:rPr>
                <w:rFonts w:cstheme="minorHAnsi"/>
              </w:rPr>
            </w:pPr>
            <w:r w:rsidRPr="00F9288A">
              <w:rPr>
                <w:rFonts w:cstheme="minorHAnsi"/>
              </w:rPr>
              <w:t>Finance Director</w:t>
            </w:r>
          </w:p>
        </w:tc>
        <w:tc>
          <w:tcPr>
            <w:tcW w:w="0" w:type="auto"/>
            <w:hideMark/>
          </w:tcPr>
          <w:p w14:paraId="7E716CF2"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23.9%</w:t>
            </w:r>
          </w:p>
        </w:tc>
        <w:tc>
          <w:tcPr>
            <w:tcW w:w="0" w:type="auto"/>
            <w:hideMark/>
          </w:tcPr>
          <w:p w14:paraId="606D69A3"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36.8%</w:t>
            </w:r>
          </w:p>
        </w:tc>
        <w:tc>
          <w:tcPr>
            <w:tcW w:w="0" w:type="auto"/>
            <w:hideMark/>
          </w:tcPr>
          <w:p w14:paraId="607A7771"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39.3%</w:t>
            </w:r>
          </w:p>
        </w:tc>
        <w:tc>
          <w:tcPr>
            <w:tcW w:w="0" w:type="auto"/>
            <w:hideMark/>
          </w:tcPr>
          <w:p w14:paraId="55451319" w14:textId="77777777" w:rsidR="001E3FAB" w:rsidRPr="00F9288A" w:rsidRDefault="001E3FAB" w:rsidP="00A82ED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F9288A">
              <w:rPr>
                <w:rStyle w:val="res"/>
                <w:rFonts w:cstheme="minorHAnsi"/>
              </w:rPr>
              <w:t>3.0%</w:t>
            </w:r>
          </w:p>
        </w:tc>
      </w:tr>
      <w:tr w:rsidR="00BC3CBD" w:rsidRPr="00F9288A" w14:paraId="7CC7CE6D" w14:textId="77777777" w:rsidTr="00F9288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hideMark/>
          </w:tcPr>
          <w:p w14:paraId="09D5E6B3" w14:textId="38129770" w:rsidR="001E3FAB" w:rsidRPr="00F9288A" w:rsidRDefault="001B5F3E" w:rsidP="00A82ED7">
            <w:pPr>
              <w:rPr>
                <w:rFonts w:cstheme="minorHAnsi"/>
              </w:rPr>
            </w:pPr>
            <w:r w:rsidRPr="00F9288A">
              <w:rPr>
                <w:rFonts w:cstheme="minorHAnsi"/>
              </w:rPr>
              <w:t>Director</w:t>
            </w:r>
          </w:p>
        </w:tc>
        <w:tc>
          <w:tcPr>
            <w:tcW w:w="0" w:type="auto"/>
            <w:hideMark/>
          </w:tcPr>
          <w:p w14:paraId="6E000836"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32.1%</w:t>
            </w:r>
          </w:p>
        </w:tc>
        <w:tc>
          <w:tcPr>
            <w:tcW w:w="0" w:type="auto"/>
            <w:hideMark/>
          </w:tcPr>
          <w:p w14:paraId="1247FFBF"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37.1%</w:t>
            </w:r>
          </w:p>
        </w:tc>
        <w:tc>
          <w:tcPr>
            <w:tcW w:w="0" w:type="auto"/>
            <w:hideMark/>
          </w:tcPr>
          <w:p w14:paraId="6F2B0D3D"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30.8%</w:t>
            </w:r>
          </w:p>
        </w:tc>
        <w:tc>
          <w:tcPr>
            <w:tcW w:w="0" w:type="auto"/>
            <w:hideMark/>
          </w:tcPr>
          <w:p w14:paraId="61A7C89B" w14:textId="77777777" w:rsidR="001E3FAB" w:rsidRPr="00F9288A" w:rsidRDefault="001E3FAB" w:rsidP="00A82ED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F9288A">
              <w:rPr>
                <w:rStyle w:val="res"/>
                <w:rFonts w:cstheme="minorHAnsi"/>
              </w:rPr>
              <w:t>5.6%</w:t>
            </w:r>
          </w:p>
        </w:tc>
      </w:tr>
    </w:tbl>
    <w:p w14:paraId="296F8148" w14:textId="77777777" w:rsidR="00EA6A53" w:rsidRPr="00EA6A53" w:rsidRDefault="00EA6A53" w:rsidP="00EA6A53">
      <w:pPr>
        <w:pStyle w:val="JudulBab"/>
        <w:spacing w:line="276" w:lineRule="auto"/>
        <w:ind w:firstLine="720"/>
        <w:jc w:val="both"/>
        <w:outlineLvl w:val="1"/>
        <w:rPr>
          <w:rFonts w:asciiTheme="minorHAnsi" w:hAnsiTheme="minorHAnsi" w:cstheme="minorHAnsi"/>
          <w:b w:val="0"/>
          <w:sz w:val="24"/>
          <w:szCs w:val="24"/>
          <w:lang w:val="id-ID"/>
        </w:rPr>
      </w:pPr>
      <w:bookmarkStart w:id="9" w:name="_Toc180865398"/>
      <w:bookmarkStart w:id="10" w:name="_Toc184220851"/>
      <w:r w:rsidRPr="00EA6A53">
        <w:rPr>
          <w:rFonts w:asciiTheme="minorHAnsi" w:hAnsiTheme="minorHAnsi" w:cstheme="minorHAnsi"/>
          <w:b w:val="0"/>
          <w:sz w:val="24"/>
          <w:szCs w:val="24"/>
          <w:lang w:val="id-ID"/>
        </w:rPr>
        <w:lastRenderedPageBreak/>
        <w:t>The analysis shows that the School Renovation Project is the top priority for CV Maezurra Indotama with a weight of 34.0%, followed by the Government Public Hospital Renovation Project (33.6%) and the Irrigation Canal Construction Project (32.4%). The group consistency level (CRmax 1.3%) confirms reliable results, though individual preferences varied, emphasizing the need to balance group and individual perspectives in decision-making.</w:t>
      </w:r>
    </w:p>
    <w:p w14:paraId="7351ED8C" w14:textId="77777777" w:rsidR="00F9288A" w:rsidRPr="00BC3CBD" w:rsidRDefault="00F9288A" w:rsidP="00BC3CBD">
      <w:pPr>
        <w:pStyle w:val="JudulBab"/>
        <w:spacing w:line="276" w:lineRule="auto"/>
        <w:jc w:val="both"/>
        <w:outlineLvl w:val="1"/>
        <w:rPr>
          <w:rFonts w:asciiTheme="minorHAnsi" w:hAnsiTheme="minorHAnsi" w:cstheme="minorHAnsi"/>
          <w:sz w:val="24"/>
          <w:szCs w:val="24"/>
        </w:rPr>
      </w:pPr>
    </w:p>
    <w:p w14:paraId="5DAF005B" w14:textId="572FB455" w:rsidR="00A163DE" w:rsidRPr="00F9288A" w:rsidRDefault="001E3FAB" w:rsidP="00CA6FA0">
      <w:pPr>
        <w:pStyle w:val="JudulBab"/>
        <w:spacing w:line="276" w:lineRule="auto"/>
        <w:jc w:val="both"/>
        <w:outlineLvl w:val="1"/>
        <w:rPr>
          <w:rFonts w:asciiTheme="minorHAnsi" w:hAnsiTheme="minorHAnsi" w:cstheme="minorHAnsi"/>
          <w:b w:val="0"/>
          <w:bCs/>
          <w:i/>
          <w:iCs/>
          <w:sz w:val="24"/>
          <w:szCs w:val="24"/>
        </w:rPr>
      </w:pPr>
      <w:r w:rsidRPr="00F9288A">
        <w:rPr>
          <w:rFonts w:asciiTheme="minorHAnsi" w:hAnsiTheme="minorHAnsi" w:cstheme="minorHAnsi"/>
          <w:b w:val="0"/>
          <w:bCs/>
          <w:i/>
          <w:iCs/>
          <w:sz w:val="24"/>
          <w:szCs w:val="24"/>
        </w:rPr>
        <w:t>Discussion</w:t>
      </w:r>
      <w:bookmarkEnd w:id="9"/>
      <w:bookmarkEnd w:id="10"/>
    </w:p>
    <w:p w14:paraId="4E659625" w14:textId="2CED7E14" w:rsidR="00544E5F" w:rsidRDefault="009B10AB" w:rsidP="00A82ED7">
      <w:pPr>
        <w:pStyle w:val="JudulBab"/>
        <w:spacing w:line="276" w:lineRule="auto"/>
        <w:ind w:left="142" w:firstLine="578"/>
        <w:jc w:val="both"/>
        <w:rPr>
          <w:rFonts w:asciiTheme="minorHAnsi" w:hAnsiTheme="minorHAnsi" w:cstheme="minorHAnsi"/>
          <w:b w:val="0"/>
          <w:sz w:val="24"/>
          <w:szCs w:val="24"/>
          <w:lang w:val="id-ID"/>
        </w:rPr>
      </w:pPr>
      <w:r w:rsidRPr="009B10AB">
        <w:rPr>
          <w:rFonts w:asciiTheme="minorHAnsi" w:hAnsiTheme="minorHAnsi" w:cstheme="minorHAnsi"/>
          <w:b w:val="0"/>
          <w:sz w:val="24"/>
          <w:szCs w:val="24"/>
          <w:lang w:val="id-ID"/>
        </w:rPr>
        <w:t>The analysis reveals that among the three main criteria for selecting the best project for CV Maezurra Indotama, Quality of Contract Management holds the highest weight (35.6%), followed by Schedule Management (33.6%) and Secured Funds (30.8%). Key sub-criteria include the contract review period before signing (15.0%) and ensuring client funds are available (14.5%), highlighting their critical role in minimizing risks and securing financing. In Schedule Management, guaranteed term payments (9.8%) and flexible supervision are prioritized for ensuring smooth execution.</w:t>
      </w:r>
      <w:r w:rsidR="00544E5F">
        <w:rPr>
          <w:rFonts w:asciiTheme="minorHAnsi" w:hAnsiTheme="minorHAnsi" w:cstheme="minorHAnsi"/>
          <w:b w:val="0"/>
          <w:sz w:val="24"/>
          <w:szCs w:val="24"/>
          <w:lang w:val="id-ID"/>
        </w:rPr>
        <w:t xml:space="preserve"> </w:t>
      </w:r>
    </w:p>
    <w:p w14:paraId="74BC3623" w14:textId="77777777" w:rsidR="00CA6FA0" w:rsidRDefault="00CA6FA0" w:rsidP="00A82ED7">
      <w:pPr>
        <w:pStyle w:val="JudulBab"/>
        <w:spacing w:line="276" w:lineRule="auto"/>
        <w:ind w:left="142" w:firstLine="578"/>
        <w:jc w:val="both"/>
        <w:rPr>
          <w:rFonts w:asciiTheme="minorHAnsi" w:hAnsiTheme="minorHAnsi" w:cstheme="minorHAnsi"/>
          <w:b w:val="0"/>
          <w:sz w:val="24"/>
          <w:szCs w:val="24"/>
          <w:lang w:val="id-ID"/>
        </w:rPr>
      </w:pPr>
    </w:p>
    <w:p w14:paraId="08C9163B" w14:textId="29829D34" w:rsidR="00CA6FA0" w:rsidRPr="00F9288A" w:rsidRDefault="00CA6FA0" w:rsidP="00CA6FA0">
      <w:pPr>
        <w:spacing w:after="0" w:line="276" w:lineRule="auto"/>
        <w:jc w:val="center"/>
        <w:rPr>
          <w:rFonts w:cstheme="minorHAnsi"/>
          <w:b/>
          <w:bCs/>
        </w:rPr>
      </w:pPr>
      <w:r w:rsidRPr="00F9288A">
        <w:rPr>
          <w:rFonts w:cstheme="minorHAnsi"/>
          <w:b/>
          <w:bCs/>
        </w:rPr>
        <w:t>Table 7s. Alternatives by Participants</w:t>
      </w:r>
    </w:p>
    <w:tbl>
      <w:tblPr>
        <w:tblStyle w:val="PlainTable2"/>
        <w:tblpPr w:leftFromText="180" w:rightFromText="180" w:vertAnchor="text" w:horzAnchor="margin" w:tblpXSpec="center" w:tblpY="176"/>
        <w:tblW w:w="8930" w:type="dxa"/>
        <w:tblLook w:val="04A0" w:firstRow="1" w:lastRow="0" w:firstColumn="1" w:lastColumn="0" w:noHBand="0" w:noVBand="1"/>
      </w:tblPr>
      <w:tblGrid>
        <w:gridCol w:w="3393"/>
        <w:gridCol w:w="1143"/>
        <w:gridCol w:w="3454"/>
        <w:gridCol w:w="940"/>
      </w:tblGrid>
      <w:tr w:rsidR="00CA6FA0" w:rsidRPr="00F9288A" w14:paraId="07F63F88" w14:textId="77777777" w:rsidTr="00E36F6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3" w:type="dxa"/>
            <w:hideMark/>
          </w:tcPr>
          <w:p w14:paraId="4AA7155B" w14:textId="77777777" w:rsidR="00CA6FA0" w:rsidRPr="00F9288A" w:rsidRDefault="00CA6FA0" w:rsidP="00E36F62">
            <w:pPr>
              <w:jc w:val="center"/>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Criteria</w:t>
            </w:r>
          </w:p>
        </w:tc>
        <w:tc>
          <w:tcPr>
            <w:tcW w:w="1143" w:type="dxa"/>
            <w:hideMark/>
          </w:tcPr>
          <w:p w14:paraId="06EB2F0F" w14:textId="77777777" w:rsidR="00CA6FA0" w:rsidRPr="00F9288A" w:rsidRDefault="00CA6FA0" w:rsidP="00E36F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Weight (%)</w:t>
            </w:r>
          </w:p>
        </w:tc>
        <w:tc>
          <w:tcPr>
            <w:tcW w:w="3454" w:type="dxa"/>
            <w:hideMark/>
          </w:tcPr>
          <w:p w14:paraId="0779149D" w14:textId="77777777" w:rsidR="00CA6FA0" w:rsidRPr="00F9288A" w:rsidRDefault="00CA6FA0" w:rsidP="00E36F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Top Sub-Criteria</w:t>
            </w:r>
          </w:p>
        </w:tc>
        <w:tc>
          <w:tcPr>
            <w:tcW w:w="940" w:type="dxa"/>
            <w:hideMark/>
          </w:tcPr>
          <w:p w14:paraId="4B188D6C" w14:textId="77777777" w:rsidR="00CA6FA0" w:rsidRPr="00F9288A" w:rsidRDefault="00CA6FA0" w:rsidP="00E36F6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Weight (%)</w:t>
            </w:r>
          </w:p>
        </w:tc>
      </w:tr>
      <w:tr w:rsidR="00CA6FA0" w:rsidRPr="00F9288A" w14:paraId="3337F185" w14:textId="77777777" w:rsidTr="00E36F6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3" w:type="dxa"/>
            <w:hideMark/>
          </w:tcPr>
          <w:p w14:paraId="0CEFE8FA" w14:textId="77777777" w:rsidR="00CA6FA0" w:rsidRPr="00F9288A" w:rsidRDefault="00CA6FA0" w:rsidP="00E36F62">
            <w:pPr>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Contract Management</w:t>
            </w:r>
          </w:p>
        </w:tc>
        <w:tc>
          <w:tcPr>
            <w:tcW w:w="1143" w:type="dxa"/>
            <w:hideMark/>
          </w:tcPr>
          <w:p w14:paraId="6AC96482" w14:textId="77777777" w:rsidR="00CA6FA0" w:rsidRPr="00F9288A" w:rsidRDefault="00CA6FA0" w:rsidP="00E36F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35.6%</w:t>
            </w:r>
          </w:p>
        </w:tc>
        <w:tc>
          <w:tcPr>
            <w:tcW w:w="3454" w:type="dxa"/>
            <w:hideMark/>
          </w:tcPr>
          <w:p w14:paraId="4B21B714" w14:textId="77777777" w:rsidR="00CA6FA0" w:rsidRPr="00F9288A" w:rsidRDefault="00CA6FA0" w:rsidP="00E36F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Contract Review Period</w:t>
            </w:r>
          </w:p>
        </w:tc>
        <w:tc>
          <w:tcPr>
            <w:tcW w:w="940" w:type="dxa"/>
            <w:hideMark/>
          </w:tcPr>
          <w:p w14:paraId="67794AD0" w14:textId="77777777" w:rsidR="00CA6FA0" w:rsidRPr="00F9288A" w:rsidRDefault="00CA6FA0" w:rsidP="00E36F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42,20%</w:t>
            </w:r>
          </w:p>
        </w:tc>
      </w:tr>
      <w:tr w:rsidR="00CA6FA0" w:rsidRPr="00F9288A" w14:paraId="72FC1BBA" w14:textId="77777777" w:rsidTr="00E36F62">
        <w:trPr>
          <w:trHeight w:val="20"/>
        </w:trPr>
        <w:tc>
          <w:tcPr>
            <w:cnfStyle w:val="001000000000" w:firstRow="0" w:lastRow="0" w:firstColumn="1" w:lastColumn="0" w:oddVBand="0" w:evenVBand="0" w:oddHBand="0" w:evenHBand="0" w:firstRowFirstColumn="0" w:firstRowLastColumn="0" w:lastRowFirstColumn="0" w:lastRowLastColumn="0"/>
            <w:tcW w:w="3393" w:type="dxa"/>
            <w:hideMark/>
          </w:tcPr>
          <w:p w14:paraId="04393AA3" w14:textId="77777777" w:rsidR="00CA6FA0" w:rsidRPr="00F9288A" w:rsidRDefault="00CA6FA0" w:rsidP="00E36F62">
            <w:pPr>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Secured Funds</w:t>
            </w:r>
          </w:p>
        </w:tc>
        <w:tc>
          <w:tcPr>
            <w:tcW w:w="1143" w:type="dxa"/>
            <w:hideMark/>
          </w:tcPr>
          <w:p w14:paraId="228B1EFD" w14:textId="77777777" w:rsidR="00CA6FA0" w:rsidRPr="00F9288A" w:rsidRDefault="00CA6FA0" w:rsidP="00E36F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30,8%</w:t>
            </w:r>
          </w:p>
        </w:tc>
        <w:tc>
          <w:tcPr>
            <w:tcW w:w="3454" w:type="dxa"/>
            <w:hideMark/>
          </w:tcPr>
          <w:p w14:paraId="4E3083FC" w14:textId="77777777" w:rsidR="00CA6FA0" w:rsidRPr="00F9288A" w:rsidRDefault="00CA6FA0" w:rsidP="00E36F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Client Fund Availability</w:t>
            </w:r>
          </w:p>
        </w:tc>
        <w:tc>
          <w:tcPr>
            <w:tcW w:w="940" w:type="dxa"/>
            <w:hideMark/>
          </w:tcPr>
          <w:p w14:paraId="36443D9A" w14:textId="77777777" w:rsidR="00CA6FA0" w:rsidRPr="00F9288A" w:rsidRDefault="00CA6FA0" w:rsidP="00E36F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47,00%</w:t>
            </w:r>
          </w:p>
        </w:tc>
      </w:tr>
      <w:tr w:rsidR="00CA6FA0" w:rsidRPr="00F9288A" w14:paraId="2173E8EA" w14:textId="77777777" w:rsidTr="00E36F6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3" w:type="dxa"/>
            <w:hideMark/>
          </w:tcPr>
          <w:p w14:paraId="4CC0A628" w14:textId="77777777" w:rsidR="00CA6FA0" w:rsidRPr="00F9288A" w:rsidRDefault="00CA6FA0" w:rsidP="00E36F62">
            <w:pPr>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Schedule Management</w:t>
            </w:r>
          </w:p>
        </w:tc>
        <w:tc>
          <w:tcPr>
            <w:tcW w:w="1143" w:type="dxa"/>
            <w:hideMark/>
          </w:tcPr>
          <w:p w14:paraId="15B3227A" w14:textId="77777777" w:rsidR="00CA6FA0" w:rsidRPr="00F9288A" w:rsidRDefault="00CA6FA0" w:rsidP="00E36F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33,6%</w:t>
            </w:r>
          </w:p>
        </w:tc>
        <w:tc>
          <w:tcPr>
            <w:tcW w:w="3454" w:type="dxa"/>
            <w:hideMark/>
          </w:tcPr>
          <w:p w14:paraId="143E62E9" w14:textId="77777777" w:rsidR="00CA6FA0" w:rsidRPr="00F9288A" w:rsidRDefault="00CA6FA0" w:rsidP="00E36F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Scheduling of Term Payments</w:t>
            </w:r>
          </w:p>
        </w:tc>
        <w:tc>
          <w:tcPr>
            <w:tcW w:w="940" w:type="dxa"/>
            <w:hideMark/>
          </w:tcPr>
          <w:p w14:paraId="38654E26" w14:textId="77777777" w:rsidR="00CA6FA0" w:rsidRPr="00F9288A" w:rsidRDefault="00CA6FA0" w:rsidP="00E36F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id-ID" w:eastAsia="id-ID"/>
              </w:rPr>
            </w:pPr>
            <w:r w:rsidRPr="00F9288A">
              <w:rPr>
                <w:rFonts w:ascii="Calibri" w:eastAsia="Times New Roman" w:hAnsi="Calibri" w:cs="Calibri"/>
                <w:color w:val="000000"/>
                <w:lang w:val="id-ID" w:eastAsia="id-ID"/>
              </w:rPr>
              <w:t>29,10%</w:t>
            </w:r>
          </w:p>
        </w:tc>
      </w:tr>
    </w:tbl>
    <w:p w14:paraId="3C6004DB" w14:textId="77777777" w:rsidR="00CA6FA0" w:rsidRDefault="00CA6FA0" w:rsidP="00A82ED7">
      <w:pPr>
        <w:pStyle w:val="JudulBab"/>
        <w:spacing w:line="276" w:lineRule="auto"/>
        <w:ind w:left="142" w:firstLine="578"/>
        <w:jc w:val="both"/>
        <w:rPr>
          <w:rFonts w:asciiTheme="minorHAnsi" w:hAnsiTheme="minorHAnsi" w:cstheme="minorHAnsi"/>
          <w:b w:val="0"/>
          <w:sz w:val="24"/>
          <w:szCs w:val="24"/>
          <w:lang w:val="id-ID"/>
        </w:rPr>
      </w:pPr>
    </w:p>
    <w:p w14:paraId="7E0A9CED" w14:textId="56246C8F" w:rsidR="009B10AB" w:rsidRPr="009B10AB" w:rsidRDefault="009B10AB" w:rsidP="00544E5F">
      <w:pPr>
        <w:pStyle w:val="JudulBab"/>
        <w:spacing w:line="276" w:lineRule="auto"/>
        <w:ind w:left="142" w:firstLine="578"/>
        <w:jc w:val="both"/>
        <w:rPr>
          <w:rFonts w:asciiTheme="minorHAnsi" w:hAnsiTheme="minorHAnsi" w:cstheme="minorHAnsi"/>
          <w:b w:val="0"/>
          <w:sz w:val="24"/>
          <w:szCs w:val="24"/>
          <w:lang w:val="id-ID"/>
        </w:rPr>
      </w:pPr>
      <w:r w:rsidRPr="009B10AB">
        <w:rPr>
          <w:rFonts w:asciiTheme="minorHAnsi" w:hAnsiTheme="minorHAnsi" w:cstheme="minorHAnsi"/>
          <w:b w:val="0"/>
          <w:sz w:val="24"/>
          <w:szCs w:val="24"/>
          <w:lang w:val="id-ID"/>
        </w:rPr>
        <w:t>These findings align with Chan and Kumaraswamy (1997) on the importance of contract clarity but extend their conclusions using AHP for systematic prioritization. While group results favor the School Renovation Project, individual preferences vary, reflecting the need to balance group and individual priorities. Despite minor deviations, the high group consistency ratio ensures a reliable and robust decision-making process.</w:t>
      </w:r>
    </w:p>
    <w:p w14:paraId="4398A716" w14:textId="77777777" w:rsidR="00DB6FDE" w:rsidRPr="00BC3CBD" w:rsidRDefault="00DB6FDE" w:rsidP="00DB6FDE">
      <w:pPr>
        <w:pStyle w:val="JudulBab"/>
        <w:spacing w:line="276" w:lineRule="auto"/>
        <w:ind w:left="142"/>
        <w:jc w:val="both"/>
        <w:rPr>
          <w:rFonts w:asciiTheme="minorHAnsi" w:hAnsiTheme="minorHAnsi" w:cstheme="minorHAnsi"/>
          <w:b w:val="0"/>
          <w:bCs/>
          <w:sz w:val="24"/>
          <w:szCs w:val="24"/>
        </w:rPr>
      </w:pPr>
    </w:p>
    <w:p w14:paraId="068BA9D4" w14:textId="77777777" w:rsidR="001E3FAB" w:rsidRPr="00F9288A" w:rsidRDefault="001E3FAB" w:rsidP="00BC3CBD">
      <w:pPr>
        <w:pStyle w:val="Judulbabsub1"/>
        <w:numPr>
          <w:ilvl w:val="0"/>
          <w:numId w:val="0"/>
        </w:numPr>
        <w:spacing w:after="0" w:line="276" w:lineRule="auto"/>
        <w:rPr>
          <w:rFonts w:asciiTheme="minorHAnsi" w:hAnsiTheme="minorHAnsi" w:cstheme="minorHAnsi"/>
          <w:b w:val="0"/>
          <w:bCs/>
          <w:i/>
          <w:iCs/>
          <w:szCs w:val="24"/>
        </w:rPr>
      </w:pPr>
      <w:bookmarkStart w:id="11" w:name="_Toc116021600"/>
      <w:bookmarkStart w:id="12" w:name="_Toc116021889"/>
      <w:bookmarkStart w:id="13" w:name="_Toc116021935"/>
      <w:bookmarkStart w:id="14" w:name="_Toc116021601"/>
      <w:bookmarkStart w:id="15" w:name="_Toc116021890"/>
      <w:bookmarkStart w:id="16" w:name="_Toc116021936"/>
      <w:bookmarkEnd w:id="11"/>
      <w:bookmarkEnd w:id="12"/>
      <w:bookmarkEnd w:id="13"/>
      <w:bookmarkEnd w:id="14"/>
      <w:bookmarkEnd w:id="15"/>
      <w:bookmarkEnd w:id="16"/>
      <w:r w:rsidRPr="00F9288A">
        <w:rPr>
          <w:rFonts w:asciiTheme="minorHAnsi" w:hAnsiTheme="minorHAnsi" w:cstheme="minorHAnsi"/>
          <w:b w:val="0"/>
          <w:bCs/>
          <w:i/>
          <w:iCs/>
          <w:szCs w:val="24"/>
        </w:rPr>
        <w:t>Business Solution</w:t>
      </w:r>
    </w:p>
    <w:p w14:paraId="2FD63AB4" w14:textId="77777777" w:rsidR="00660D67" w:rsidRDefault="00F77439" w:rsidP="00F77439">
      <w:pPr>
        <w:autoSpaceDE w:val="0"/>
        <w:autoSpaceDN w:val="0"/>
        <w:adjustRightInd w:val="0"/>
        <w:spacing w:after="0" w:line="276" w:lineRule="auto"/>
        <w:ind w:firstLine="720"/>
        <w:jc w:val="both"/>
        <w:rPr>
          <w:rFonts w:cstheme="minorHAnsi"/>
          <w:sz w:val="24"/>
          <w:szCs w:val="24"/>
        </w:rPr>
      </w:pPr>
      <w:r w:rsidRPr="00F77439">
        <w:rPr>
          <w:rFonts w:cstheme="minorHAnsi"/>
          <w:sz w:val="24"/>
          <w:szCs w:val="24"/>
        </w:rPr>
        <w:t xml:space="preserve">CV. Maezurra Indotama prioritizes projects with strong contract management, secure financial support, and effective schedule management, according to the weight analysis of criteria and sub-criteria. The study showed that School Renovation was the best choice and was given the highest priority during the group decision-making process. </w:t>
      </w:r>
    </w:p>
    <w:p w14:paraId="7CF1039D" w14:textId="5F49A116" w:rsidR="00F77439" w:rsidRDefault="00F77439" w:rsidP="00660D67">
      <w:pPr>
        <w:autoSpaceDE w:val="0"/>
        <w:autoSpaceDN w:val="0"/>
        <w:adjustRightInd w:val="0"/>
        <w:spacing w:after="0" w:line="276" w:lineRule="auto"/>
        <w:ind w:firstLine="720"/>
        <w:jc w:val="both"/>
        <w:rPr>
          <w:rFonts w:cstheme="minorHAnsi"/>
          <w:sz w:val="24"/>
          <w:szCs w:val="24"/>
        </w:rPr>
      </w:pPr>
      <w:r w:rsidRPr="00F77439">
        <w:rPr>
          <w:rFonts w:cstheme="minorHAnsi"/>
          <w:sz w:val="24"/>
          <w:szCs w:val="24"/>
        </w:rPr>
        <w:t>Due to the clear and simplified contract management process, precise scheduling, and secured financial structure, the project aligns with the organization's strategic goals. These elements reduce operational risk and increase the likelihood that the project will be completed successfully.</w:t>
      </w:r>
      <w:r w:rsidR="00660D67">
        <w:rPr>
          <w:rFonts w:cstheme="minorHAnsi"/>
          <w:sz w:val="24"/>
          <w:szCs w:val="24"/>
        </w:rPr>
        <w:t xml:space="preserve"> </w:t>
      </w:r>
      <w:r w:rsidRPr="00F77439">
        <w:rPr>
          <w:rFonts w:cstheme="minorHAnsi"/>
          <w:sz w:val="24"/>
          <w:szCs w:val="24"/>
        </w:rPr>
        <w:t xml:space="preserve">The proposed business solution involves selecting the School Renovation Project as the main focus and improving the operational approach in areas identified as critical. An increase in the project success rate, an improved contract review process, better scheduling, and guaranteed availability of funds are required. During the </w:t>
      </w:r>
      <w:r w:rsidRPr="00F77439">
        <w:rPr>
          <w:rFonts w:cstheme="minorHAnsi"/>
          <w:sz w:val="24"/>
          <w:szCs w:val="24"/>
        </w:rPr>
        <w:lastRenderedPageBreak/>
        <w:t>course of the project, incorporating feedback mechanisms and expert input will further streamline operations and reduce the likelihood of delays.</w:t>
      </w:r>
    </w:p>
    <w:p w14:paraId="2145D86E" w14:textId="77777777" w:rsidR="00E02AB2" w:rsidRPr="00C6233B" w:rsidRDefault="00E02AB2" w:rsidP="00C6233B">
      <w:pPr>
        <w:autoSpaceDE w:val="0"/>
        <w:autoSpaceDN w:val="0"/>
        <w:adjustRightInd w:val="0"/>
        <w:spacing w:after="0" w:line="276" w:lineRule="auto"/>
        <w:ind w:firstLine="720"/>
        <w:jc w:val="both"/>
        <w:rPr>
          <w:rFonts w:cstheme="minorHAnsi"/>
          <w:sz w:val="24"/>
          <w:szCs w:val="24"/>
        </w:rPr>
      </w:pPr>
    </w:p>
    <w:p w14:paraId="20AF5522" w14:textId="77777777" w:rsidR="00781EDF" w:rsidRPr="00BC3CBD" w:rsidRDefault="00781EDF" w:rsidP="00BC3CBD">
      <w:pPr>
        <w:autoSpaceDE w:val="0"/>
        <w:autoSpaceDN w:val="0"/>
        <w:adjustRightInd w:val="0"/>
        <w:spacing w:after="0" w:line="276" w:lineRule="auto"/>
        <w:jc w:val="both"/>
        <w:rPr>
          <w:rFonts w:cstheme="minorHAnsi"/>
          <w:b/>
          <w:sz w:val="24"/>
          <w:szCs w:val="24"/>
        </w:rPr>
      </w:pPr>
      <w:r w:rsidRPr="00BC3CBD">
        <w:rPr>
          <w:rFonts w:cstheme="minorHAnsi"/>
          <w:b/>
          <w:sz w:val="24"/>
          <w:szCs w:val="24"/>
        </w:rPr>
        <w:t>Conclusion</w:t>
      </w:r>
    </w:p>
    <w:p w14:paraId="6EA5240F" w14:textId="0543A17A" w:rsidR="00BC3CBD" w:rsidRDefault="001D20A4" w:rsidP="001D20A4">
      <w:pPr>
        <w:autoSpaceDE w:val="0"/>
        <w:autoSpaceDN w:val="0"/>
        <w:adjustRightInd w:val="0"/>
        <w:spacing w:after="0" w:line="276" w:lineRule="auto"/>
        <w:ind w:firstLine="720"/>
        <w:jc w:val="both"/>
        <w:rPr>
          <w:rFonts w:cstheme="minorHAnsi"/>
          <w:sz w:val="24"/>
          <w:szCs w:val="24"/>
        </w:rPr>
      </w:pPr>
      <w:r w:rsidRPr="001D20A4">
        <w:rPr>
          <w:rFonts w:cstheme="minorHAnsi"/>
          <w:sz w:val="24"/>
          <w:szCs w:val="24"/>
        </w:rPr>
        <w:t>The Analytical Hierarchy Process (AHP) assesses the most favorable construction projects for CV. Maezurra Indotama, with the School Renovation Project being the strongest, with a 34% score. This score is based on three evaluation criteria: Quality of Contract Management, Fund Assurance, and Schedule Management. Critical sub-criteria include contract review periods, client funds assurances, and guaranteed project term payments. Efficient financial management, contract execution, and time parameters management are crucial for successful project delivery. The high consistency ratio indicates sound decision-making, making the AHP method an efficient choice for CV. Maezurra Indotama.</w:t>
      </w:r>
    </w:p>
    <w:p w14:paraId="3B8B73F7" w14:textId="77777777" w:rsidR="001D20A4" w:rsidRPr="00BC3CBD" w:rsidRDefault="001D20A4" w:rsidP="00BC3CBD">
      <w:pPr>
        <w:autoSpaceDE w:val="0"/>
        <w:autoSpaceDN w:val="0"/>
        <w:adjustRightInd w:val="0"/>
        <w:spacing w:after="0" w:line="276" w:lineRule="auto"/>
        <w:jc w:val="both"/>
        <w:rPr>
          <w:rFonts w:cstheme="minorHAnsi"/>
          <w:sz w:val="24"/>
          <w:szCs w:val="24"/>
        </w:rPr>
      </w:pPr>
    </w:p>
    <w:p w14:paraId="0AF731D1" w14:textId="4022EC64" w:rsidR="00BC3CBD" w:rsidRPr="00F9288A" w:rsidRDefault="00BC3CBD" w:rsidP="00BC3CBD">
      <w:pPr>
        <w:autoSpaceDE w:val="0"/>
        <w:autoSpaceDN w:val="0"/>
        <w:adjustRightInd w:val="0"/>
        <w:spacing w:after="0" w:line="276" w:lineRule="auto"/>
        <w:jc w:val="both"/>
        <w:rPr>
          <w:rFonts w:cstheme="minorHAnsi"/>
          <w:i/>
          <w:iCs/>
          <w:sz w:val="24"/>
          <w:szCs w:val="24"/>
        </w:rPr>
      </w:pPr>
      <w:r w:rsidRPr="00F9288A">
        <w:rPr>
          <w:rFonts w:cstheme="minorHAnsi"/>
          <w:i/>
          <w:iCs/>
          <w:sz w:val="24"/>
          <w:szCs w:val="24"/>
        </w:rPr>
        <w:t xml:space="preserve">Recommendations </w:t>
      </w:r>
    </w:p>
    <w:p w14:paraId="463A1CF1" w14:textId="2A3DEE5F" w:rsidR="00BF2DCF" w:rsidRDefault="004B019D" w:rsidP="00544E5F">
      <w:pPr>
        <w:autoSpaceDE w:val="0"/>
        <w:autoSpaceDN w:val="0"/>
        <w:adjustRightInd w:val="0"/>
        <w:spacing w:after="0" w:line="276" w:lineRule="auto"/>
        <w:ind w:firstLine="720"/>
        <w:jc w:val="both"/>
        <w:rPr>
          <w:rFonts w:cstheme="minorHAnsi"/>
          <w:sz w:val="24"/>
          <w:szCs w:val="24"/>
          <w:lang w:val="id-ID"/>
        </w:rPr>
      </w:pPr>
      <w:r w:rsidRPr="004B019D">
        <w:rPr>
          <w:rFonts w:cstheme="minorHAnsi"/>
          <w:sz w:val="24"/>
          <w:szCs w:val="24"/>
          <w:lang w:val="id-ID"/>
        </w:rPr>
        <w:t>The ability of AHP to select the best project for CV, in this case, Maezurra Indotama, is shown in this study with the School Renovation Project as the priority. The contracted management, the financial part, and scheduling are the priority requirements for project success. Standardized contracts, the presence of funds, and proper scheduling will improve project performance. In future studies, it could be interesting to look at implementing dynamic AHP with some technological assistance to enhance decision-making efficiency.</w:t>
      </w:r>
    </w:p>
    <w:p w14:paraId="25BDE2CE" w14:textId="77777777" w:rsidR="00660D67" w:rsidRPr="00544E5F" w:rsidRDefault="00660D67" w:rsidP="00544E5F">
      <w:pPr>
        <w:autoSpaceDE w:val="0"/>
        <w:autoSpaceDN w:val="0"/>
        <w:adjustRightInd w:val="0"/>
        <w:spacing w:after="0" w:line="276" w:lineRule="auto"/>
        <w:ind w:firstLine="720"/>
        <w:jc w:val="both"/>
        <w:rPr>
          <w:rFonts w:cstheme="minorHAnsi"/>
          <w:sz w:val="24"/>
          <w:szCs w:val="24"/>
          <w:lang w:val="id-ID"/>
        </w:rPr>
      </w:pPr>
    </w:p>
    <w:p w14:paraId="2FA3E877" w14:textId="23D88D02" w:rsidR="00781EDF" w:rsidRPr="00BC3CBD" w:rsidRDefault="00781EDF" w:rsidP="00BC3CBD">
      <w:pPr>
        <w:tabs>
          <w:tab w:val="left" w:pos="2580"/>
          <w:tab w:val="center" w:pos="3969"/>
          <w:tab w:val="left" w:pos="6345"/>
        </w:tabs>
        <w:spacing w:after="0" w:line="276" w:lineRule="auto"/>
        <w:rPr>
          <w:rFonts w:cstheme="minorHAnsi"/>
          <w:sz w:val="24"/>
          <w:szCs w:val="24"/>
          <w:shd w:val="clear" w:color="auto" w:fill="FFFFFF"/>
        </w:rPr>
      </w:pPr>
      <w:r w:rsidRPr="00BC3CBD">
        <w:rPr>
          <w:rFonts w:cstheme="minorHAnsi"/>
          <w:b/>
          <w:sz w:val="24"/>
          <w:szCs w:val="24"/>
        </w:rPr>
        <w:t>References</w:t>
      </w:r>
    </w:p>
    <w:p w14:paraId="444D5A1B"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Nugraha, P., Natan, I., &amp; Sutjipto, R. (1986). </w:t>
      </w:r>
      <w:r w:rsidRPr="00F9288A">
        <w:rPr>
          <w:rFonts w:ascii="Calibri" w:hAnsi="Calibri" w:cs="Calibri"/>
          <w:i/>
          <w:iCs/>
          <w:color w:val="auto"/>
          <w:szCs w:val="24"/>
          <w:lang w:val="id-ID"/>
        </w:rPr>
        <w:t>Prosedur pembayaran dalam proyek konstruksi</w:t>
      </w:r>
      <w:r w:rsidRPr="00F9288A">
        <w:rPr>
          <w:rFonts w:ascii="Calibri" w:hAnsi="Calibri" w:cs="Calibri"/>
          <w:color w:val="auto"/>
          <w:szCs w:val="24"/>
          <w:lang w:val="id-ID"/>
        </w:rPr>
        <w:t>. Bandung: ITB Press.</w:t>
      </w:r>
    </w:p>
    <w:p w14:paraId="6686A6C8"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Saaty, T. L. (1980). </w:t>
      </w:r>
      <w:r w:rsidRPr="00F9288A">
        <w:rPr>
          <w:rFonts w:ascii="Calibri" w:hAnsi="Calibri" w:cs="Calibri"/>
          <w:i/>
          <w:iCs/>
          <w:color w:val="auto"/>
          <w:szCs w:val="24"/>
          <w:lang w:val="id-ID"/>
        </w:rPr>
        <w:t>The analytic hierarchy process: Planning, priority setting, resource allocation</w:t>
      </w:r>
      <w:r w:rsidRPr="00F9288A">
        <w:rPr>
          <w:rFonts w:ascii="Calibri" w:hAnsi="Calibri" w:cs="Calibri"/>
          <w:color w:val="auto"/>
          <w:szCs w:val="24"/>
          <w:lang w:val="id-ID"/>
        </w:rPr>
        <w:t>. McGraw-Hill.</w:t>
      </w:r>
    </w:p>
    <w:p w14:paraId="56B932DA"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Ervianto, W. I. (2002). </w:t>
      </w:r>
      <w:r w:rsidRPr="00F9288A">
        <w:rPr>
          <w:rFonts w:ascii="Calibri" w:hAnsi="Calibri" w:cs="Calibri"/>
          <w:i/>
          <w:iCs/>
          <w:color w:val="auto"/>
          <w:szCs w:val="24"/>
          <w:lang w:val="id-ID"/>
        </w:rPr>
        <w:t>Manajemen proyek konstruksi</w:t>
      </w:r>
      <w:r w:rsidRPr="00F9288A">
        <w:rPr>
          <w:rFonts w:ascii="Calibri" w:hAnsi="Calibri" w:cs="Calibri"/>
          <w:color w:val="auto"/>
          <w:szCs w:val="24"/>
          <w:lang w:val="id-ID"/>
        </w:rPr>
        <w:t>. Yogyakarta: Andi Publisher.</w:t>
      </w:r>
    </w:p>
    <w:p w14:paraId="19E0BA20"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Ervianto, W. I. (2003). </w:t>
      </w:r>
      <w:r w:rsidRPr="00F9288A">
        <w:rPr>
          <w:rFonts w:ascii="Calibri" w:hAnsi="Calibri" w:cs="Calibri"/>
          <w:i/>
          <w:iCs/>
          <w:color w:val="auto"/>
          <w:szCs w:val="24"/>
          <w:lang w:val="id-ID"/>
        </w:rPr>
        <w:t>Dasar-dasar manajemen proyek konstruksi</w:t>
      </w:r>
      <w:r w:rsidRPr="00F9288A">
        <w:rPr>
          <w:rFonts w:ascii="Calibri" w:hAnsi="Calibri" w:cs="Calibri"/>
          <w:color w:val="auto"/>
          <w:szCs w:val="24"/>
          <w:lang w:val="id-ID"/>
        </w:rPr>
        <w:t>. Yogyakarta: Andi Publisher.</w:t>
      </w:r>
    </w:p>
    <w:p w14:paraId="5D512ACD"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Skibniewski, M. J., &amp; Chao, L. C. (1992). Evaluation of advanced construction technology with AHP method. </w:t>
      </w:r>
      <w:r w:rsidRPr="00F9288A">
        <w:rPr>
          <w:rFonts w:ascii="Calibri" w:hAnsi="Calibri" w:cs="Calibri"/>
          <w:i/>
          <w:iCs/>
          <w:color w:val="auto"/>
          <w:szCs w:val="24"/>
          <w:lang w:val="id-ID"/>
        </w:rPr>
        <w:t>Journal of Construction Engineering and Management, 118</w:t>
      </w:r>
      <w:r w:rsidRPr="00F9288A">
        <w:rPr>
          <w:rFonts w:ascii="Calibri" w:hAnsi="Calibri" w:cs="Calibri"/>
          <w:color w:val="auto"/>
          <w:szCs w:val="24"/>
          <w:lang w:val="id-ID"/>
        </w:rPr>
        <w:t xml:space="preserve">(3), 577–593. </w:t>
      </w:r>
      <w:hyperlink r:id="rId10" w:tgtFrame="_new" w:history="1">
        <w:r w:rsidRPr="00F9288A">
          <w:rPr>
            <w:rStyle w:val="Hyperlink"/>
            <w:rFonts w:ascii="Calibri" w:hAnsi="Calibri" w:cs="Calibri"/>
            <w:color w:val="auto"/>
            <w:szCs w:val="24"/>
            <w:lang w:val="id-ID"/>
          </w:rPr>
          <w:t>https://doi.org/10.1061/(ASCE)0733-9364(1992)118:3(577)</w:t>
        </w:r>
      </w:hyperlink>
    </w:p>
    <w:p w14:paraId="0DE3D7C3"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Chan, A. P., &amp; Kumaraswamy, M. M. (1997). A comparative study of causes of time overruns in Hong Kong construction projects. </w:t>
      </w:r>
      <w:r w:rsidRPr="00F9288A">
        <w:rPr>
          <w:rFonts w:ascii="Calibri" w:hAnsi="Calibri" w:cs="Calibri"/>
          <w:i/>
          <w:iCs/>
          <w:color w:val="auto"/>
          <w:szCs w:val="24"/>
          <w:lang w:val="id-ID"/>
        </w:rPr>
        <w:t>International Journal of Project Management, 15</w:t>
      </w:r>
      <w:r w:rsidRPr="00F9288A">
        <w:rPr>
          <w:rFonts w:ascii="Calibri" w:hAnsi="Calibri" w:cs="Calibri"/>
          <w:color w:val="auto"/>
          <w:szCs w:val="24"/>
          <w:lang w:val="id-ID"/>
        </w:rPr>
        <w:t xml:space="preserve">(1), 55–63. </w:t>
      </w:r>
      <w:hyperlink r:id="rId11" w:tgtFrame="_new" w:history="1">
        <w:r w:rsidRPr="00F9288A">
          <w:rPr>
            <w:rStyle w:val="Hyperlink"/>
            <w:rFonts w:ascii="Calibri" w:hAnsi="Calibri" w:cs="Calibri"/>
            <w:color w:val="auto"/>
            <w:szCs w:val="24"/>
            <w:lang w:val="id-ID"/>
          </w:rPr>
          <w:t>https://doi.org/10.1016/S0263-7863(96)00039-7</w:t>
        </w:r>
      </w:hyperlink>
    </w:p>
    <w:p w14:paraId="78D90CC8"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Ho, W. (2008). Integrated analytic hierarchy process and its applications – A literature review. </w:t>
      </w:r>
      <w:r w:rsidRPr="00F9288A">
        <w:rPr>
          <w:rFonts w:ascii="Calibri" w:hAnsi="Calibri" w:cs="Calibri"/>
          <w:i/>
          <w:iCs/>
          <w:color w:val="auto"/>
          <w:szCs w:val="24"/>
          <w:lang w:val="id-ID"/>
        </w:rPr>
        <w:t>European Journal of Operational Research, 186</w:t>
      </w:r>
      <w:r w:rsidRPr="00F9288A">
        <w:rPr>
          <w:rFonts w:ascii="Calibri" w:hAnsi="Calibri" w:cs="Calibri"/>
          <w:color w:val="auto"/>
          <w:szCs w:val="24"/>
          <w:lang w:val="id-ID"/>
        </w:rPr>
        <w:t xml:space="preserve">(1), 211–228. </w:t>
      </w:r>
      <w:hyperlink r:id="rId12" w:tgtFrame="_new" w:history="1">
        <w:r w:rsidRPr="00F9288A">
          <w:rPr>
            <w:rStyle w:val="Hyperlink"/>
            <w:rFonts w:ascii="Calibri" w:hAnsi="Calibri" w:cs="Calibri"/>
            <w:color w:val="auto"/>
            <w:szCs w:val="24"/>
            <w:lang w:val="id-ID"/>
          </w:rPr>
          <w:t>https://doi.org/10.1016/j.ejor.2007.01.004</w:t>
        </w:r>
      </w:hyperlink>
    </w:p>
    <w:p w14:paraId="39CC56A8"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Subramanian, N., &amp; Ramanathan, R. (2012). A review of applications of analytic hierarchy process in operations management. </w:t>
      </w:r>
      <w:r w:rsidRPr="00F9288A">
        <w:rPr>
          <w:rFonts w:ascii="Calibri" w:hAnsi="Calibri" w:cs="Calibri"/>
          <w:i/>
          <w:iCs/>
          <w:color w:val="auto"/>
          <w:szCs w:val="24"/>
          <w:lang w:val="id-ID"/>
        </w:rPr>
        <w:t>International Journal of Production Economics, 138</w:t>
      </w:r>
      <w:r w:rsidRPr="00F9288A">
        <w:rPr>
          <w:rFonts w:ascii="Calibri" w:hAnsi="Calibri" w:cs="Calibri"/>
          <w:color w:val="auto"/>
          <w:szCs w:val="24"/>
          <w:lang w:val="id-ID"/>
        </w:rPr>
        <w:t xml:space="preserve">(2), 215–241. </w:t>
      </w:r>
      <w:hyperlink r:id="rId13" w:tgtFrame="_new" w:history="1">
        <w:r w:rsidRPr="00F9288A">
          <w:rPr>
            <w:rStyle w:val="Hyperlink"/>
            <w:rFonts w:ascii="Calibri" w:hAnsi="Calibri" w:cs="Calibri"/>
            <w:color w:val="auto"/>
            <w:szCs w:val="24"/>
            <w:lang w:val="id-ID"/>
          </w:rPr>
          <w:t>https://doi.org/10.1016/j.ijpe.2012.03.036</w:t>
        </w:r>
      </w:hyperlink>
    </w:p>
    <w:p w14:paraId="6F254A90"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lastRenderedPageBreak/>
        <w:t xml:space="preserve">Miles, M. B., Huberman, A. M., &amp; Saldaña, J. (2014). </w:t>
      </w:r>
      <w:r w:rsidRPr="00F9288A">
        <w:rPr>
          <w:rFonts w:ascii="Calibri" w:hAnsi="Calibri" w:cs="Calibri"/>
          <w:i/>
          <w:iCs/>
          <w:color w:val="auto"/>
          <w:szCs w:val="24"/>
          <w:lang w:val="id-ID"/>
        </w:rPr>
        <w:t>Qualitative data analysis: A methods sourcebook</w:t>
      </w:r>
      <w:r w:rsidRPr="00F9288A">
        <w:rPr>
          <w:rFonts w:ascii="Calibri" w:hAnsi="Calibri" w:cs="Calibri"/>
          <w:color w:val="auto"/>
          <w:szCs w:val="24"/>
          <w:lang w:val="id-ID"/>
        </w:rPr>
        <w:t xml:space="preserve"> (3rd ed.). Sage Publications.</w:t>
      </w:r>
    </w:p>
    <w:p w14:paraId="04AA66DC"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rPr>
        <w:t xml:space="preserve">Law of the Republic of Indonesia Number 2 of 2017 concerning construction services. (2017). </w:t>
      </w:r>
      <w:r w:rsidRPr="00F9288A">
        <w:rPr>
          <w:rFonts w:ascii="Calibri" w:hAnsi="Calibri" w:cs="Calibri"/>
          <w:i/>
          <w:iCs/>
          <w:color w:val="auto"/>
          <w:szCs w:val="24"/>
        </w:rPr>
        <w:t>State Gazette of the Republic of Indonesia</w:t>
      </w:r>
      <w:r w:rsidRPr="00F9288A">
        <w:rPr>
          <w:rFonts w:ascii="Calibri" w:hAnsi="Calibri" w:cs="Calibri"/>
          <w:color w:val="auto"/>
          <w:szCs w:val="24"/>
        </w:rPr>
        <w:t>. Jakarta: Government of Indonesia.</w:t>
      </w:r>
    </w:p>
    <w:p w14:paraId="1838B2CF"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Darko, A., Chan, A. P. C., Ameyaw, E. E., Owusu, E. K., &amp; Pärn, E. A. (2018). Review of application of analytic hierarchy process (AHP) in construction. </w:t>
      </w:r>
      <w:r w:rsidRPr="00F9288A">
        <w:rPr>
          <w:rFonts w:ascii="Calibri" w:hAnsi="Calibri" w:cs="Calibri"/>
          <w:i/>
          <w:iCs/>
          <w:color w:val="auto"/>
          <w:szCs w:val="24"/>
          <w:lang w:val="id-ID"/>
        </w:rPr>
        <w:t>International Journal of Construction Management, 18</w:t>
      </w:r>
      <w:r w:rsidRPr="00F9288A">
        <w:rPr>
          <w:rFonts w:ascii="Calibri" w:hAnsi="Calibri" w:cs="Calibri"/>
          <w:color w:val="auto"/>
          <w:szCs w:val="24"/>
          <w:lang w:val="id-ID"/>
        </w:rPr>
        <w:t xml:space="preserve">(5), 436–452. </w:t>
      </w:r>
      <w:hyperlink r:id="rId14" w:tgtFrame="_new" w:history="1">
        <w:r w:rsidRPr="00F9288A">
          <w:rPr>
            <w:rStyle w:val="Hyperlink"/>
            <w:rFonts w:ascii="Calibri" w:hAnsi="Calibri" w:cs="Calibri"/>
            <w:color w:val="auto"/>
            <w:szCs w:val="24"/>
            <w:lang w:val="id-ID"/>
          </w:rPr>
          <w:t>https://doi.org/10.1080/15623599.2017.1321577</w:t>
        </w:r>
      </w:hyperlink>
    </w:p>
    <w:p w14:paraId="52305B1B"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Love, P. E. D., Sing, C.-P., Wang, X., &amp; Tam, C. M. (2018). Delays in construction projects: A global perspective. </w:t>
      </w:r>
      <w:r w:rsidRPr="00F9288A">
        <w:rPr>
          <w:rFonts w:ascii="Calibri" w:hAnsi="Calibri" w:cs="Calibri"/>
          <w:i/>
          <w:iCs/>
          <w:color w:val="auto"/>
          <w:szCs w:val="24"/>
          <w:lang w:val="id-ID"/>
        </w:rPr>
        <w:t>Built Environment Project and Asset Management, 8</w:t>
      </w:r>
      <w:r w:rsidRPr="00F9288A">
        <w:rPr>
          <w:rFonts w:ascii="Calibri" w:hAnsi="Calibri" w:cs="Calibri"/>
          <w:color w:val="auto"/>
          <w:szCs w:val="24"/>
          <w:lang w:val="id-ID"/>
        </w:rPr>
        <w:t xml:space="preserve">(1), 77–91. </w:t>
      </w:r>
      <w:hyperlink r:id="rId15" w:tgtFrame="_new" w:history="1">
        <w:r w:rsidRPr="00F9288A">
          <w:rPr>
            <w:rStyle w:val="Hyperlink"/>
            <w:rFonts w:ascii="Calibri" w:hAnsi="Calibri" w:cs="Calibri"/>
            <w:color w:val="auto"/>
            <w:szCs w:val="24"/>
            <w:lang w:val="id-ID"/>
          </w:rPr>
          <w:t>https://doi.org/10.1108/BEPAM-03-2017-0023</w:t>
        </w:r>
      </w:hyperlink>
    </w:p>
    <w:p w14:paraId="24240595"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Mills, G. E., &amp; Gay, L. R. (2019). </w:t>
      </w:r>
      <w:r w:rsidRPr="00F9288A">
        <w:rPr>
          <w:rFonts w:ascii="Calibri" w:hAnsi="Calibri" w:cs="Calibri"/>
          <w:i/>
          <w:iCs/>
          <w:color w:val="auto"/>
          <w:szCs w:val="24"/>
          <w:lang w:val="id-ID"/>
        </w:rPr>
        <w:t>Educational research: Competencies for analysis and applications</w:t>
      </w:r>
      <w:r w:rsidRPr="00F9288A">
        <w:rPr>
          <w:rFonts w:ascii="Calibri" w:hAnsi="Calibri" w:cs="Calibri"/>
          <w:color w:val="auto"/>
          <w:szCs w:val="24"/>
          <w:lang w:val="id-ID"/>
        </w:rPr>
        <w:t xml:space="preserve"> (12th ed.). Pearson.</w:t>
      </w:r>
    </w:p>
    <w:p w14:paraId="14F6F8C0" w14:textId="77777777" w:rsidR="00CB509C" w:rsidRPr="00F9288A" w:rsidRDefault="00CB509C" w:rsidP="00CB509C">
      <w:pPr>
        <w:pStyle w:val="keterangan"/>
        <w:spacing w:line="276" w:lineRule="auto"/>
        <w:ind w:left="720" w:hanging="720"/>
        <w:rPr>
          <w:rFonts w:ascii="Calibri" w:hAnsi="Calibri" w:cs="Calibri"/>
          <w:color w:val="auto"/>
          <w:szCs w:val="24"/>
          <w:lang w:val="id-ID"/>
        </w:rPr>
      </w:pPr>
      <w:r w:rsidRPr="00F9288A">
        <w:rPr>
          <w:rFonts w:ascii="Calibri" w:hAnsi="Calibri" w:cs="Calibri"/>
          <w:color w:val="auto"/>
          <w:szCs w:val="24"/>
          <w:lang w:val="id-ID"/>
        </w:rPr>
        <w:t xml:space="preserve">Presidential Regulation of the Republic of Indonesia No. 12 of 2021. (2021). </w:t>
      </w:r>
      <w:r w:rsidRPr="00F9288A">
        <w:rPr>
          <w:rFonts w:ascii="Calibri" w:hAnsi="Calibri" w:cs="Calibri"/>
          <w:i/>
          <w:iCs/>
          <w:color w:val="auto"/>
          <w:szCs w:val="24"/>
          <w:lang w:val="id-ID"/>
        </w:rPr>
        <w:t>Types of construction contracts</w:t>
      </w:r>
      <w:r w:rsidRPr="00F9288A">
        <w:rPr>
          <w:rFonts w:ascii="Calibri" w:hAnsi="Calibri" w:cs="Calibri"/>
          <w:color w:val="auto"/>
          <w:szCs w:val="24"/>
          <w:lang w:val="id-ID"/>
        </w:rPr>
        <w:t>. Jakarta: Government of Indonesia.</w:t>
      </w:r>
    </w:p>
    <w:p w14:paraId="61B1AC7F" w14:textId="77777777" w:rsidR="00CB509C" w:rsidRPr="00F9288A" w:rsidRDefault="00CB509C" w:rsidP="00CB509C">
      <w:pPr>
        <w:pStyle w:val="keterangan"/>
        <w:spacing w:line="276" w:lineRule="auto"/>
        <w:ind w:left="720" w:hanging="720"/>
        <w:rPr>
          <w:rFonts w:ascii="Calibri" w:hAnsi="Calibri" w:cs="Calibri"/>
          <w:color w:val="auto"/>
          <w:lang w:val="id-ID"/>
        </w:rPr>
      </w:pPr>
      <w:r w:rsidRPr="00F9288A">
        <w:rPr>
          <w:rFonts w:ascii="Calibri" w:hAnsi="Calibri" w:cs="Calibri"/>
          <w:color w:val="auto"/>
          <w:lang w:val="id-ID"/>
        </w:rPr>
        <w:t xml:space="preserve">Badan Pusat Statistik. (2024). </w:t>
      </w:r>
      <w:r w:rsidRPr="00F9288A">
        <w:rPr>
          <w:rFonts w:ascii="Calibri" w:hAnsi="Calibri" w:cs="Calibri"/>
          <w:i/>
          <w:iCs/>
          <w:color w:val="auto"/>
          <w:lang w:val="id-ID"/>
        </w:rPr>
        <w:t>Distribution and growth of GDP by field of business</w:t>
      </w:r>
      <w:r w:rsidRPr="00F9288A">
        <w:rPr>
          <w:rFonts w:ascii="Calibri" w:hAnsi="Calibri" w:cs="Calibri"/>
          <w:color w:val="auto"/>
          <w:lang w:val="id-ID"/>
        </w:rPr>
        <w:t xml:space="preserve">. In </w:t>
      </w:r>
      <w:r w:rsidRPr="00F9288A">
        <w:rPr>
          <w:rFonts w:ascii="Calibri" w:hAnsi="Calibri" w:cs="Calibri"/>
          <w:i/>
          <w:iCs/>
          <w:color w:val="auto"/>
          <w:lang w:val="id-ID"/>
        </w:rPr>
        <w:t>Indonesia Quarterly Gross Domestic Product 2020–2024</w:t>
      </w:r>
      <w:r w:rsidRPr="00F9288A">
        <w:rPr>
          <w:rFonts w:ascii="Calibri" w:hAnsi="Calibri" w:cs="Calibri"/>
          <w:color w:val="auto"/>
          <w:lang w:val="id-ID"/>
        </w:rPr>
        <w:t xml:space="preserve"> (Vol. 7).</w:t>
      </w:r>
    </w:p>
    <w:p w14:paraId="783380AA" w14:textId="77777777" w:rsidR="00CB509C" w:rsidRPr="00F9288A" w:rsidRDefault="00CB509C" w:rsidP="00CB509C">
      <w:pPr>
        <w:pStyle w:val="keterangan"/>
        <w:spacing w:line="276" w:lineRule="auto"/>
        <w:ind w:left="720" w:hanging="720"/>
        <w:rPr>
          <w:rFonts w:ascii="Calibri" w:hAnsi="Calibri" w:cs="Calibri"/>
          <w:color w:val="auto"/>
          <w:lang w:val="id-ID"/>
        </w:rPr>
      </w:pPr>
      <w:r w:rsidRPr="00F9288A">
        <w:rPr>
          <w:rFonts w:ascii="Calibri" w:hAnsi="Calibri" w:cs="Calibri"/>
          <w:color w:val="auto"/>
          <w:lang w:val="id-ID"/>
        </w:rPr>
        <w:t xml:space="preserve">Badan Pusat Statistik. (2024). </w:t>
      </w:r>
      <w:r w:rsidRPr="00F9288A">
        <w:rPr>
          <w:rFonts w:ascii="Calibri" w:hAnsi="Calibri" w:cs="Calibri"/>
          <w:i/>
          <w:iCs/>
          <w:color w:val="auto"/>
          <w:lang w:val="id-ID"/>
        </w:rPr>
        <w:t>Government administration and bureaucracy in construction business problems</w:t>
      </w:r>
      <w:r w:rsidRPr="00F9288A">
        <w:rPr>
          <w:rFonts w:ascii="Calibri" w:hAnsi="Calibri" w:cs="Calibri"/>
          <w:color w:val="auto"/>
          <w:lang w:val="id-ID"/>
        </w:rPr>
        <w:t xml:space="preserve">. In </w:t>
      </w:r>
      <w:r w:rsidRPr="00F9288A">
        <w:rPr>
          <w:rFonts w:ascii="Calibri" w:hAnsi="Calibri" w:cs="Calibri"/>
          <w:i/>
          <w:iCs/>
          <w:color w:val="auto"/>
          <w:lang w:val="id-ID"/>
        </w:rPr>
        <w:t>Construction Indicators, 1st Quarter-2024</w:t>
      </w:r>
      <w:r w:rsidRPr="00F9288A">
        <w:rPr>
          <w:rFonts w:ascii="Calibri" w:hAnsi="Calibri" w:cs="Calibri"/>
          <w:color w:val="auto"/>
          <w:lang w:val="id-ID"/>
        </w:rPr>
        <w:t>.</w:t>
      </w:r>
    </w:p>
    <w:p w14:paraId="04649150" w14:textId="292D2767" w:rsidR="00781EDF" w:rsidRPr="00F9288A" w:rsidRDefault="00781EDF" w:rsidP="00CB509C">
      <w:pPr>
        <w:spacing w:after="0" w:line="276" w:lineRule="auto"/>
        <w:ind w:left="720" w:hanging="720"/>
        <w:jc w:val="both"/>
        <w:rPr>
          <w:rFonts w:ascii="Calibri" w:hAnsi="Calibri" w:cs="Calibri"/>
          <w:b/>
          <w:bCs/>
          <w:sz w:val="20"/>
          <w:szCs w:val="20"/>
        </w:rPr>
      </w:pPr>
    </w:p>
    <w:sectPr w:rsidR="00781EDF" w:rsidRPr="00F9288A" w:rsidSect="00825D4D">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426" w:footer="720" w:gutter="0"/>
      <w:pgNumType w:start="3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2B3A" w14:textId="77777777" w:rsidR="00C235BB" w:rsidRDefault="00C235BB" w:rsidP="00DD6268">
      <w:pPr>
        <w:spacing w:after="0" w:line="240" w:lineRule="auto"/>
      </w:pPr>
      <w:r>
        <w:separator/>
      </w:r>
    </w:p>
  </w:endnote>
  <w:endnote w:type="continuationSeparator" w:id="0">
    <w:p w14:paraId="0EEF5380" w14:textId="77777777" w:rsidR="00C235BB" w:rsidRDefault="00C235BB" w:rsidP="00DD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ire Sans">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87237"/>
      <w:docPartObj>
        <w:docPartGallery w:val="Page Numbers (Bottom of Page)"/>
        <w:docPartUnique/>
      </w:docPartObj>
    </w:sdtPr>
    <w:sdtEndPr>
      <w:rPr>
        <w:noProof/>
      </w:rPr>
    </w:sdtEndPr>
    <w:sdtContent>
      <w:p w14:paraId="7BCFB38F" w14:textId="35CCC82A" w:rsidR="00F9288A" w:rsidRDefault="00F92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18" w:name="_Hlk181190530"/>
  <w:bookmarkStart w:id="19" w:name="_Hlk183233267"/>
  <w:bookmarkStart w:id="20" w:name="_Hlk183233268"/>
  <w:bookmarkStart w:id="21" w:name="_Hlk183233330"/>
  <w:bookmarkStart w:id="22" w:name="_Hlk183233331"/>
  <w:p w14:paraId="0947F5F6" w14:textId="7537418B" w:rsidR="00F9288A" w:rsidRDefault="00F9288A">
    <w:pPr>
      <w:pStyle w:val="Footer"/>
    </w:pPr>
    <w:r w:rsidRPr="004C43B4">
      <w:fldChar w:fldCharType="begin"/>
    </w:r>
    <w:r w:rsidRPr="004C43B4">
      <w:rPr>
        <w:i/>
        <w:iCs/>
      </w:rPr>
      <w:instrText>HYPERLINK "https://equatorscience.com/index.php/jabter"</w:instrText>
    </w:r>
    <w:r w:rsidRPr="004C43B4">
      <w:fldChar w:fldCharType="separate"/>
    </w:r>
    <w:r w:rsidRPr="004C43B4">
      <w:rPr>
        <w:rStyle w:val="Hyperlink"/>
        <w:color w:val="0070C0"/>
      </w:rPr>
      <w:t>https://equatorscience.com/index.php/jabter</w:t>
    </w:r>
    <w:r w:rsidRPr="004C43B4">
      <w:rPr>
        <w:rStyle w:val="Hyperlink"/>
        <w:i/>
        <w:iCs/>
        <w:color w:val="0070C0"/>
      </w:rPr>
      <w:fldChar w:fldCharType="end"/>
    </w:r>
    <w:bookmarkEnd w:id="18"/>
    <w:bookmarkEnd w:id="19"/>
    <w:bookmarkEnd w:id="20"/>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477595"/>
      <w:docPartObj>
        <w:docPartGallery w:val="Page Numbers (Bottom of Page)"/>
        <w:docPartUnique/>
      </w:docPartObj>
    </w:sdtPr>
    <w:sdtEndPr>
      <w:rPr>
        <w:noProof/>
      </w:rPr>
    </w:sdtEndPr>
    <w:sdtContent>
      <w:p w14:paraId="285CE33A" w14:textId="3A3F9657" w:rsidR="00F9288A" w:rsidRDefault="00F9288A">
        <w:pPr>
          <w:pStyle w:val="Footer"/>
        </w:pPr>
        <w:r>
          <w:fldChar w:fldCharType="begin"/>
        </w:r>
        <w:r>
          <w:instrText xml:space="preserve"> PAGE   \* MERGEFORMAT </w:instrText>
        </w:r>
        <w:r>
          <w:fldChar w:fldCharType="separate"/>
        </w:r>
        <w:r>
          <w:rPr>
            <w:noProof/>
          </w:rPr>
          <w:t>2</w:t>
        </w:r>
        <w:r>
          <w:rPr>
            <w:noProof/>
          </w:rPr>
          <w:fldChar w:fldCharType="end"/>
        </w:r>
      </w:p>
    </w:sdtContent>
  </w:sdt>
  <w:p w14:paraId="09767999" w14:textId="67ACB39B" w:rsidR="00F9288A" w:rsidRDefault="00F9288A" w:rsidP="00F9288A">
    <w:pPr>
      <w:pStyle w:val="Footer"/>
      <w:jc w:val="right"/>
    </w:pPr>
    <w:hyperlink r:id="rId1" w:history="1">
      <w:r w:rsidRPr="004C43B4">
        <w:rPr>
          <w:rStyle w:val="Hyperlink"/>
          <w:color w:val="0070C0"/>
        </w:rPr>
        <w:t>https://equatorscience.com/index.php/jabter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40765"/>
      <w:docPartObj>
        <w:docPartGallery w:val="Page Numbers (Bottom of Page)"/>
        <w:docPartUnique/>
      </w:docPartObj>
    </w:sdtPr>
    <w:sdtEndPr>
      <w:rPr>
        <w:noProof/>
      </w:rPr>
    </w:sdtEndPr>
    <w:sdtContent>
      <w:p w14:paraId="568DC759" w14:textId="7131D5CA" w:rsidR="00F9288A" w:rsidRDefault="00F9288A" w:rsidP="00F92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2E835" w14:textId="0B889D43" w:rsidR="00F9288A" w:rsidRDefault="00F9288A">
    <w:pPr>
      <w:pStyle w:val="Footer"/>
    </w:pPr>
    <w:r w:rsidRPr="006E60AA">
      <w:rPr>
        <w:noProof/>
      </w:rPr>
      <w:drawing>
        <wp:inline distT="0" distB="0" distL="0" distR="0" wp14:anchorId="1305D727" wp14:editId="621BB567">
          <wp:extent cx="624205" cy="205740"/>
          <wp:effectExtent l="0" t="0" r="4445" b="3810"/>
          <wp:docPr id="1452381700" name="Picture 145238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33" cy="237127"/>
                  </a:xfrm>
                  <a:prstGeom prst="rect">
                    <a:avLst/>
                  </a:prstGeom>
                  <a:noFill/>
                  <a:ln>
                    <a:noFill/>
                  </a:ln>
                </pic:spPr>
              </pic:pic>
            </a:graphicData>
          </a:graphic>
        </wp:inline>
      </w:drawing>
    </w:r>
    <w:r>
      <w:rPr>
        <w:noProof/>
      </w:rPr>
      <mc:AlternateContent>
        <mc:Choice Requires="wps">
          <w:drawing>
            <wp:anchor distT="0" distB="0" distL="114300" distR="114300" simplePos="0" relativeHeight="251661312" behindDoc="0" locked="0" layoutInCell="1" allowOverlap="1" wp14:anchorId="289191DE" wp14:editId="50BA1C7B">
              <wp:simplePos x="0" y="0"/>
              <wp:positionH relativeFrom="margin">
                <wp:posOffset>-106680</wp:posOffset>
              </wp:positionH>
              <wp:positionV relativeFrom="paragraph">
                <wp:posOffset>303530</wp:posOffset>
              </wp:positionV>
              <wp:extent cx="2910840" cy="295910"/>
              <wp:effectExtent l="0" t="0" r="3810" b="8890"/>
              <wp:wrapNone/>
              <wp:docPr id="2092849037" name="Rectangle 2092849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840" cy="295910"/>
                      </a:xfrm>
                      <a:prstGeom prst="rect">
                        <a:avLst/>
                      </a:prstGeom>
                      <a:solidFill>
                        <a:sysClr val="window" lastClr="FFFFFF"/>
                      </a:solidFill>
                      <a:ln w="12700" cap="flat" cmpd="sng" algn="ctr">
                        <a:noFill/>
                        <a:prstDash val="solid"/>
                        <a:miter lim="800000"/>
                      </a:ln>
                      <a:effectLst/>
                    </wps:spPr>
                    <wps:txbx>
                      <w:txbxContent>
                        <w:p w14:paraId="504761ED" w14:textId="77777777" w:rsidR="00F9288A" w:rsidRPr="008D1508" w:rsidRDefault="00F9288A" w:rsidP="00F9288A">
                          <w:pPr>
                            <w:rPr>
                              <w:rFonts w:ascii="Arial" w:hAnsi="Arial" w:cs="Arial"/>
                              <w:sz w:val="12"/>
                              <w:szCs w:val="12"/>
                            </w:rPr>
                          </w:pPr>
                          <w:r w:rsidRPr="008D1508">
                            <w:rPr>
                              <w:rFonts w:ascii="Arial" w:hAnsi="Arial" w:cs="Arial"/>
                              <w:sz w:val="12"/>
                              <w:szCs w:val="12"/>
                            </w:rPr>
                            <w:t>Journal of Applied Business, Taxation and Economics Research (JABTER) is licensed under an Attribution-ShareAlike 4.0 International (CC BY-SA 4.0)</w:t>
                          </w:r>
                        </w:p>
                        <w:p w14:paraId="5D84A5E0" w14:textId="77777777" w:rsidR="00F9288A" w:rsidRPr="008D1508" w:rsidRDefault="00F9288A" w:rsidP="00F9288A">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191DE" id="Rectangle 2092849037" o:spid="_x0000_s1026" style="position:absolute;margin-left:-8.4pt;margin-top:23.9pt;width:229.2pt;height:2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" fillcolor="window" stroked="f" strokeweight="1pt">
              <v:textbox>
                <w:txbxContent>
                  <w:p w14:paraId="504761ED" w14:textId="77777777" w:rsidR="00F9288A" w:rsidRPr="008D1508" w:rsidRDefault="00F9288A" w:rsidP="00F9288A">
                    <w:pPr>
                      <w:rPr>
                        <w:rFonts w:ascii="Arial" w:hAnsi="Arial" w:cs="Arial"/>
                        <w:sz w:val="12"/>
                        <w:szCs w:val="12"/>
                      </w:rPr>
                    </w:pPr>
                    <w:r w:rsidRPr="008D1508">
                      <w:rPr>
                        <w:rFonts w:ascii="Arial" w:hAnsi="Arial" w:cs="Arial"/>
                        <w:sz w:val="12"/>
                        <w:szCs w:val="12"/>
                      </w:rPr>
                      <w:t>Journal of Applied Business, Taxation and Economics Research (JABTER) is licensed under an Attribution-ShareAlike 4.0 International (CC BY-SA 4.0)</w:t>
                    </w:r>
                  </w:p>
                  <w:p w14:paraId="5D84A5E0" w14:textId="77777777" w:rsidR="00F9288A" w:rsidRPr="008D1508" w:rsidRDefault="00F9288A" w:rsidP="00F9288A">
                    <w:pPr>
                      <w:rPr>
                        <w:rFonts w:ascii="Arial" w:hAnsi="Arial" w:cs="Arial"/>
                        <w:sz w:val="12"/>
                        <w:szCs w:val="12"/>
                      </w:rP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5C59CD88" wp14:editId="3C241EB0">
              <wp:simplePos x="0" y="0"/>
              <wp:positionH relativeFrom="margin">
                <wp:posOffset>4147185</wp:posOffset>
              </wp:positionH>
              <wp:positionV relativeFrom="paragraph">
                <wp:posOffset>207010</wp:posOffset>
              </wp:positionV>
              <wp:extent cx="1950720" cy="336550"/>
              <wp:effectExtent l="0" t="0" r="0" b="6350"/>
              <wp:wrapNone/>
              <wp:docPr id="2056388308" name="Rectangle 2056388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336550"/>
                      </a:xfrm>
                      <a:prstGeom prst="rect">
                        <a:avLst/>
                      </a:prstGeom>
                      <a:solidFill>
                        <a:sysClr val="window" lastClr="FFFFFF"/>
                      </a:solidFill>
                      <a:ln w="12700" cap="flat" cmpd="sng" algn="ctr">
                        <a:noFill/>
                        <a:prstDash val="solid"/>
                        <a:miter lim="800000"/>
                      </a:ln>
                      <a:effectLst/>
                    </wps:spPr>
                    <wps:txbx>
                      <w:txbxContent>
                        <w:p w14:paraId="280E032A" w14:textId="77777777" w:rsidR="00F9288A" w:rsidRPr="008D1508" w:rsidRDefault="00F9288A" w:rsidP="00F9288A">
                          <w:pPr>
                            <w:pBdr>
                              <w:top w:val="nil"/>
                              <w:left w:val="nil"/>
                              <w:bottom w:val="nil"/>
                              <w:right w:val="nil"/>
                              <w:between w:val="nil"/>
                            </w:pBdr>
                            <w:tabs>
                              <w:tab w:val="center" w:pos="4513"/>
                              <w:tab w:val="right" w:pos="9026"/>
                            </w:tabs>
                            <w:jc w:val="right"/>
                            <w:rPr>
                              <w:rFonts w:ascii="Arial" w:eastAsia="Quire Sans" w:hAnsi="Arial" w:cs="Arial"/>
                              <w:color w:val="000000"/>
                              <w:sz w:val="14"/>
                              <w:szCs w:val="14"/>
                            </w:rPr>
                          </w:pPr>
                          <w:hyperlink r:id="rId2" w:history="1">
                            <w:r w:rsidRPr="008D1508">
                              <w:rPr>
                                <w:rFonts w:ascii="Arial" w:hAnsi="Arial" w:cs="Arial"/>
                                <w:i/>
                                <w:iCs/>
                                <w:sz w:val="12"/>
                                <w:szCs w:val="12"/>
                              </w:rPr>
                              <w:t>https://equatorscience.com/index.php/jabter</w:t>
                            </w:r>
                          </w:hyperlink>
                          <w:r w:rsidRPr="008D1508">
                            <w:rPr>
                              <w:rFonts w:ascii="Arial" w:hAnsi="Arial" w:cs="Arial"/>
                              <w:i/>
                              <w:iCs/>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9CD88" id="Rectangle 2056388308" o:spid="_x0000_s1027" style="position:absolute;margin-left:326.55pt;margin-top:16.3pt;width:153.6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" fillcolor="window" stroked="f" strokeweight="1pt">
              <v:textbox>
                <w:txbxContent>
                  <w:p w14:paraId="280E032A" w14:textId="77777777" w:rsidR="00F9288A" w:rsidRPr="008D1508" w:rsidRDefault="00F9288A" w:rsidP="00F9288A">
                    <w:pPr>
                      <w:pBdr>
                        <w:top w:val="nil"/>
                        <w:left w:val="nil"/>
                        <w:bottom w:val="nil"/>
                        <w:right w:val="nil"/>
                        <w:between w:val="nil"/>
                      </w:pBdr>
                      <w:tabs>
                        <w:tab w:val="center" w:pos="4513"/>
                        <w:tab w:val="right" w:pos="9026"/>
                      </w:tabs>
                      <w:jc w:val="right"/>
                      <w:rPr>
                        <w:rFonts w:ascii="Arial" w:eastAsia="Quire Sans" w:hAnsi="Arial" w:cs="Arial"/>
                        <w:color w:val="000000"/>
                        <w:sz w:val="14"/>
                        <w:szCs w:val="14"/>
                      </w:rPr>
                    </w:pPr>
                    <w:hyperlink r:id="rId3" w:history="1">
                      <w:r w:rsidRPr="008D1508">
                        <w:rPr>
                          <w:rFonts w:ascii="Arial" w:hAnsi="Arial" w:cs="Arial"/>
                          <w:i/>
                          <w:iCs/>
                          <w:sz w:val="12"/>
                          <w:szCs w:val="12"/>
                        </w:rPr>
                        <w:t>https://equatorscience.com/index.php/jabter</w:t>
                      </w:r>
                    </w:hyperlink>
                    <w:r w:rsidRPr="008D1508">
                      <w:rPr>
                        <w:rFonts w:ascii="Arial" w:hAnsi="Arial" w:cs="Arial"/>
                        <w:i/>
                        <w:iCs/>
                        <w:sz w:val="12"/>
                        <w:szCs w:val="12"/>
                      </w:rP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FDE9" w14:textId="77777777" w:rsidR="00C235BB" w:rsidRDefault="00C235BB" w:rsidP="00DD6268">
      <w:pPr>
        <w:spacing w:after="0" w:line="240" w:lineRule="auto"/>
      </w:pPr>
      <w:bookmarkStart w:id="0" w:name="_Hlk185407886"/>
      <w:bookmarkEnd w:id="0"/>
      <w:r>
        <w:separator/>
      </w:r>
    </w:p>
  </w:footnote>
  <w:footnote w:type="continuationSeparator" w:id="0">
    <w:p w14:paraId="3D54F500" w14:textId="77777777" w:rsidR="00C235BB" w:rsidRDefault="00C235BB" w:rsidP="00DD6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BEEA" w14:textId="77777777" w:rsidR="00F9288A" w:rsidRDefault="00F9288A" w:rsidP="00F9288A">
    <w:pPr>
      <w:pBdr>
        <w:top w:val="nil"/>
        <w:left w:val="nil"/>
        <w:bottom w:val="nil"/>
        <w:right w:val="nil"/>
        <w:between w:val="nil"/>
      </w:pBdr>
      <w:tabs>
        <w:tab w:val="center" w:pos="4680"/>
        <w:tab w:val="right" w:pos="9360"/>
      </w:tabs>
      <w:spacing w:after="0"/>
      <w:rPr>
        <w:bCs/>
        <w:color w:val="000000"/>
      </w:rPr>
    </w:pPr>
    <w:bookmarkStart w:id="17" w:name="_Hlk181190470"/>
    <w:r>
      <w:rPr>
        <w:b/>
        <w:color w:val="000000"/>
      </w:rPr>
      <w:tab/>
    </w:r>
    <w:r w:rsidRPr="004C43B4">
      <w:rPr>
        <w:b/>
        <w:color w:val="000000"/>
      </w:rPr>
      <w:tab/>
    </w:r>
    <w:r w:rsidRPr="004C43B4">
      <w:rPr>
        <w:bCs/>
        <w:color w:val="000000"/>
      </w:rPr>
      <w:t>P-ISSN 2828-4976</w:t>
    </w:r>
  </w:p>
  <w:p w14:paraId="5BC84C90" w14:textId="3016E323" w:rsidR="00F6244D" w:rsidRPr="00F6244D" w:rsidRDefault="00F9288A" w:rsidP="00F9288A">
    <w:pPr>
      <w:pStyle w:val="Header"/>
      <w:jc w:val="right"/>
      <w:rPr>
        <w:b/>
        <w:bCs/>
        <w:i/>
        <w:iCs/>
      </w:rPr>
    </w:pPr>
    <w:r w:rsidRPr="004C43B4">
      <w:rPr>
        <w:b/>
        <w:color w:val="000000"/>
      </w:rPr>
      <w:t xml:space="preserve">Vol. 4, No. </w:t>
    </w:r>
    <w:r>
      <w:rPr>
        <w:b/>
        <w:color w:val="000000"/>
      </w:rPr>
      <w:t>2</w:t>
    </w:r>
    <w:r w:rsidRPr="004C43B4">
      <w:rPr>
        <w:b/>
        <w:color w:val="000000"/>
      </w:rPr>
      <w:t xml:space="preserve">, </w:t>
    </w:r>
    <w:r>
      <w:rPr>
        <w:b/>
        <w:color w:val="000000"/>
      </w:rPr>
      <w:t>December</w:t>
    </w:r>
    <w:r w:rsidRPr="004C43B4">
      <w:rPr>
        <w:b/>
        <w:color w:val="000000"/>
      </w:rPr>
      <w:t xml:space="preserve"> 2024</w:t>
    </w:r>
    <w:r w:rsidRPr="004C43B4">
      <w:rPr>
        <w:bCs/>
        <w:color w:val="000000"/>
      </w:rPr>
      <w:t xml:space="preserve">                                                                                               </w:t>
    </w:r>
    <w:r>
      <w:rPr>
        <w:bCs/>
        <w:color w:val="000000"/>
      </w:rPr>
      <w:t xml:space="preserve"> </w:t>
    </w:r>
    <w:r w:rsidRPr="004C43B4">
      <w:rPr>
        <w:bCs/>
        <w:color w:val="000000"/>
      </w:rPr>
      <w:t>E-ISSN 2808-263X</w:t>
    </w:r>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828" w14:textId="77777777" w:rsidR="00E45987" w:rsidRDefault="00E45987" w:rsidP="00F6244D">
    <w:pPr>
      <w:pStyle w:val="Header"/>
      <w:rPr>
        <w:rFonts w:eastAsia="Quire Sans" w:cstheme="minorHAnsi"/>
        <w:b/>
        <w:color w:val="000000"/>
      </w:rPr>
    </w:pPr>
  </w:p>
  <w:p w14:paraId="76D6321E" w14:textId="3B369A32" w:rsidR="00F6244D" w:rsidRPr="00F9288A" w:rsidRDefault="00F9288A" w:rsidP="00F9288A">
    <w:pPr>
      <w:pStyle w:val="Header"/>
      <w:jc w:val="right"/>
      <w:rPr>
        <w:b/>
        <w:bCs/>
        <w:i/>
        <w:iCs/>
      </w:rPr>
    </w:pPr>
    <w:r w:rsidRPr="00F9288A">
      <w:rPr>
        <w:rFonts w:eastAsia="Quire Sans" w:cstheme="minorHAnsi"/>
        <w:b/>
        <w:i/>
        <w:iCs/>
        <w:color w:val="000000"/>
      </w:rPr>
      <w:t>Maharani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2D64" w14:textId="77777777" w:rsidR="00F9288A" w:rsidRPr="004C43B4" w:rsidRDefault="00F9288A" w:rsidP="00F9288A">
    <w:pPr>
      <w:spacing w:after="0"/>
      <w:ind w:left="851" w:right="-330"/>
      <w:rPr>
        <w:sz w:val="32"/>
      </w:rPr>
    </w:pPr>
    <w:r w:rsidRPr="004C43B4">
      <w:rPr>
        <w:noProof/>
      </w:rPr>
      <w:drawing>
        <wp:anchor distT="0" distB="0" distL="0" distR="0" simplePos="0" relativeHeight="251659264" behindDoc="0" locked="0" layoutInCell="1" allowOverlap="1" wp14:anchorId="1ECCCFFB" wp14:editId="3253A0A8">
          <wp:simplePos x="0" y="0"/>
          <wp:positionH relativeFrom="page">
            <wp:posOffset>822774</wp:posOffset>
          </wp:positionH>
          <wp:positionV relativeFrom="paragraph">
            <wp:posOffset>110909</wp:posOffset>
          </wp:positionV>
          <wp:extent cx="492496" cy="491380"/>
          <wp:effectExtent l="0" t="0" r="0" b="0"/>
          <wp:wrapNone/>
          <wp:docPr id="1701028630" name="Picture 1701028630" descr="A picture containing night sky, sta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A picture containing night sky, star, outdoor object&#10;&#10;Description automatically generated"/>
                  <pic:cNvPicPr/>
                </pic:nvPicPr>
                <pic:blipFill>
                  <a:blip r:embed="rId1" cstate="print"/>
                  <a:stretch>
                    <a:fillRect/>
                  </a:stretch>
                </pic:blipFill>
                <pic:spPr>
                  <a:xfrm>
                    <a:off x="0" y="0"/>
                    <a:ext cx="492496" cy="491380"/>
                  </a:xfrm>
                  <a:prstGeom prst="rect">
                    <a:avLst/>
                  </a:prstGeom>
                </pic:spPr>
              </pic:pic>
            </a:graphicData>
          </a:graphic>
        </wp:anchor>
      </w:drawing>
    </w:r>
    <w:r w:rsidRPr="004C43B4">
      <w:rPr>
        <w:sz w:val="32"/>
      </w:rPr>
      <w:t>Journal</w:t>
    </w:r>
    <w:r w:rsidRPr="004C43B4">
      <w:rPr>
        <w:spacing w:val="-5"/>
        <w:sz w:val="32"/>
      </w:rPr>
      <w:t xml:space="preserve"> </w:t>
    </w:r>
    <w:r w:rsidRPr="004C43B4">
      <w:rPr>
        <w:sz w:val="32"/>
      </w:rPr>
      <w:t>of</w:t>
    </w:r>
    <w:r w:rsidRPr="004C43B4">
      <w:rPr>
        <w:spacing w:val="-6"/>
        <w:sz w:val="32"/>
      </w:rPr>
      <w:t xml:space="preserve"> </w:t>
    </w:r>
    <w:r w:rsidRPr="004C43B4">
      <w:rPr>
        <w:sz w:val="32"/>
      </w:rPr>
      <w:t>Applied</w:t>
    </w:r>
    <w:r w:rsidRPr="004C43B4">
      <w:rPr>
        <w:spacing w:val="-3"/>
        <w:sz w:val="32"/>
      </w:rPr>
      <w:t xml:space="preserve"> </w:t>
    </w:r>
    <w:r w:rsidRPr="004C43B4">
      <w:rPr>
        <w:sz w:val="32"/>
      </w:rPr>
      <w:t>Business,</w:t>
    </w:r>
    <w:r w:rsidRPr="004C43B4">
      <w:rPr>
        <w:spacing w:val="-6"/>
        <w:sz w:val="32"/>
      </w:rPr>
      <w:t xml:space="preserve"> </w:t>
    </w:r>
    <w:r w:rsidRPr="004C43B4">
      <w:rPr>
        <w:sz w:val="32"/>
      </w:rPr>
      <w:t>Taxation</w:t>
    </w:r>
    <w:r w:rsidRPr="004C43B4">
      <w:rPr>
        <w:spacing w:val="-4"/>
        <w:sz w:val="32"/>
      </w:rPr>
      <w:t xml:space="preserve"> </w:t>
    </w:r>
    <w:r w:rsidRPr="004C43B4">
      <w:rPr>
        <w:sz w:val="32"/>
      </w:rPr>
      <w:t>and</w:t>
    </w:r>
    <w:r w:rsidRPr="004C43B4">
      <w:rPr>
        <w:spacing w:val="-6"/>
        <w:sz w:val="32"/>
      </w:rPr>
      <w:t xml:space="preserve"> </w:t>
    </w:r>
    <w:r w:rsidRPr="004C43B4">
      <w:rPr>
        <w:sz w:val="32"/>
      </w:rPr>
      <w:t>Economics</w:t>
    </w:r>
    <w:r w:rsidRPr="004C43B4">
      <w:rPr>
        <w:spacing w:val="-3"/>
        <w:sz w:val="32"/>
      </w:rPr>
      <w:t xml:space="preserve"> </w:t>
    </w:r>
    <w:r w:rsidRPr="004C43B4">
      <w:rPr>
        <w:sz w:val="32"/>
      </w:rPr>
      <w:t>Research</w:t>
    </w:r>
    <w:r w:rsidRPr="004C43B4">
      <w:rPr>
        <w:spacing w:val="-70"/>
        <w:sz w:val="32"/>
      </w:rPr>
      <w:t xml:space="preserve"> </w:t>
    </w:r>
    <w:r w:rsidRPr="004C43B4">
      <w:rPr>
        <w:sz w:val="32"/>
      </w:rPr>
      <w:t>(JABTER)</w:t>
    </w:r>
  </w:p>
  <w:p w14:paraId="049D2F9F" w14:textId="27A8C1C6" w:rsidR="00F9288A" w:rsidRPr="004C43B4" w:rsidRDefault="00F9288A" w:rsidP="00F9288A">
    <w:pPr>
      <w:tabs>
        <w:tab w:val="left" w:pos="6873"/>
      </w:tabs>
      <w:spacing w:after="0"/>
      <w:ind w:left="567"/>
      <w:rPr>
        <w:b/>
      </w:rPr>
    </w:pPr>
    <w:r w:rsidRPr="004C43B4">
      <w:rPr>
        <w:b/>
      </w:rPr>
      <w:t xml:space="preserve">     Vol.</w:t>
    </w:r>
    <w:r w:rsidRPr="004C43B4">
      <w:rPr>
        <w:b/>
        <w:spacing w:val="-2"/>
      </w:rPr>
      <w:t xml:space="preserve"> </w:t>
    </w:r>
    <w:r w:rsidRPr="004C43B4">
      <w:rPr>
        <w:b/>
      </w:rPr>
      <w:t>4,</w:t>
    </w:r>
    <w:r w:rsidRPr="004C43B4">
      <w:rPr>
        <w:b/>
        <w:spacing w:val="-4"/>
      </w:rPr>
      <w:t xml:space="preserve"> </w:t>
    </w:r>
    <w:r w:rsidRPr="004C43B4">
      <w:rPr>
        <w:b/>
      </w:rPr>
      <w:t>No.</w:t>
    </w:r>
    <w:r w:rsidRPr="004C43B4">
      <w:rPr>
        <w:b/>
        <w:spacing w:val="-3"/>
      </w:rPr>
      <w:t xml:space="preserve"> </w:t>
    </w:r>
    <w:r>
      <w:rPr>
        <w:b/>
      </w:rPr>
      <w:t>2</w:t>
    </w:r>
    <w:r w:rsidRPr="004C43B4">
      <w:rPr>
        <w:b/>
      </w:rPr>
      <w:t>,</w:t>
    </w:r>
    <w:r w:rsidRPr="004C43B4">
      <w:rPr>
        <w:b/>
        <w:spacing w:val="-1"/>
      </w:rPr>
      <w:t xml:space="preserve"> </w:t>
    </w:r>
    <w:r>
      <w:rPr>
        <w:b/>
        <w:spacing w:val="-1"/>
      </w:rPr>
      <w:t>December</w:t>
    </w:r>
    <w:r w:rsidRPr="004C43B4">
      <w:rPr>
        <w:b/>
        <w:spacing w:val="-1"/>
      </w:rPr>
      <w:t xml:space="preserve"> 2024</w:t>
    </w:r>
    <w:r w:rsidRPr="004C43B4">
      <w:rPr>
        <w:b/>
        <w:spacing w:val="-2"/>
      </w:rPr>
      <w:t xml:space="preserve"> </w:t>
    </w:r>
    <w:r w:rsidRPr="004C43B4">
      <w:rPr>
        <w:b/>
      </w:rPr>
      <w:t>(Page:</w:t>
    </w:r>
    <w:r w:rsidRPr="004C43B4">
      <w:rPr>
        <w:b/>
        <w:spacing w:val="-2"/>
      </w:rPr>
      <w:t xml:space="preserve"> </w:t>
    </w:r>
    <w:r>
      <w:rPr>
        <w:b/>
      </w:rPr>
      <w:t>3</w:t>
    </w:r>
    <w:r w:rsidR="00825D4D">
      <w:rPr>
        <w:b/>
      </w:rPr>
      <w:t>41</w:t>
    </w:r>
    <w:r w:rsidRPr="004C43B4">
      <w:rPr>
        <w:b/>
      </w:rPr>
      <w:t>-</w:t>
    </w:r>
    <w:r>
      <w:rPr>
        <w:b/>
      </w:rPr>
      <w:t>3</w:t>
    </w:r>
    <w:r w:rsidR="00825D4D">
      <w:rPr>
        <w:b/>
      </w:rPr>
      <w:t>50</w:t>
    </w:r>
    <w:r w:rsidRPr="004C43B4">
      <w:rPr>
        <w:b/>
      </w:rPr>
      <w:t>)</w:t>
    </w:r>
    <w:r w:rsidRPr="004C43B4">
      <w:rPr>
        <w:b/>
      </w:rPr>
      <w:tab/>
      <w:t xml:space="preserve">    </w:t>
    </w:r>
    <w:r>
      <w:rPr>
        <w:b/>
      </w:rPr>
      <w:t xml:space="preserve">  </w:t>
    </w:r>
    <w:r w:rsidRPr="004C43B4">
      <w:rPr>
        <w:b/>
      </w:rPr>
      <w:t xml:space="preserve"> </w:t>
    </w:r>
    <w:r w:rsidRPr="004C43B4">
      <w:rPr>
        <w:rFonts w:eastAsia="Quire Sans"/>
        <w:bCs/>
        <w:color w:val="000000"/>
      </w:rPr>
      <w:t>P</w:t>
    </w:r>
    <w:r w:rsidRPr="004C43B4">
      <w:rPr>
        <w:rFonts w:eastAsia="Cambria"/>
        <w:color w:val="000000"/>
      </w:rPr>
      <w:t>-ISSN 2828-4976</w:t>
    </w:r>
  </w:p>
  <w:p w14:paraId="1AEE15AE" w14:textId="4D31332F" w:rsidR="00F9288A" w:rsidRDefault="00F9288A" w:rsidP="00F9288A">
    <w:pPr>
      <w:pStyle w:val="Header"/>
    </w:pPr>
    <w:r w:rsidRPr="004C43B4">
      <w:t xml:space="preserve">                DOI: 10.54408/jabter.</w:t>
    </w:r>
    <w:r w:rsidRPr="00D61E79">
      <w:t>v4i2.</w:t>
    </w:r>
    <w:r>
      <w:t>40</w:t>
    </w:r>
    <w:r w:rsidR="007A41BC">
      <w:t>7</w:t>
    </w:r>
    <w:r w:rsidRPr="004C43B4">
      <w:t xml:space="preserve">                                                                        </w:t>
    </w:r>
    <w:r>
      <w:t xml:space="preserve">  </w:t>
    </w:r>
    <w:r w:rsidRPr="004C43B4">
      <w:t>E-ISSN</w:t>
    </w:r>
    <w:r w:rsidRPr="004C43B4">
      <w:rPr>
        <w:spacing w:val="-3"/>
      </w:rPr>
      <w:t xml:space="preserve"> </w:t>
    </w:r>
    <w:r w:rsidRPr="004C43B4">
      <w:t>2808-263X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399E"/>
    <w:multiLevelType w:val="hybridMultilevel"/>
    <w:tmpl w:val="FA1CB760"/>
    <w:lvl w:ilvl="0" w:tplc="9D16E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13F9B"/>
    <w:multiLevelType w:val="hybridMultilevel"/>
    <w:tmpl w:val="B4885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C2077D"/>
    <w:multiLevelType w:val="hybridMultilevel"/>
    <w:tmpl w:val="34CA7966"/>
    <w:lvl w:ilvl="0" w:tplc="731EC2BC">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4F45C42"/>
    <w:multiLevelType w:val="hybridMultilevel"/>
    <w:tmpl w:val="2A68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D0D43"/>
    <w:multiLevelType w:val="multilevel"/>
    <w:tmpl w:val="465CA694"/>
    <w:lvl w:ilvl="0">
      <w:start w:val="1"/>
      <w:numFmt w:val="upperRoman"/>
      <w:pStyle w:val="judulBab15"/>
      <w:lvlText w:val="Chapter %1"/>
      <w:lvlJc w:val="left"/>
      <w:pPr>
        <w:ind w:left="360" w:hanging="360"/>
      </w:pPr>
    </w:lvl>
    <w:lvl w:ilvl="1">
      <w:start w:val="1"/>
      <w:numFmt w:val="decimal"/>
      <w:pStyle w:val="Judulbabsub1"/>
      <w:lvlText w:val="%1.%2"/>
      <w:lvlJc w:val="left"/>
      <w:pPr>
        <w:ind w:left="720" w:hanging="360"/>
      </w:pPr>
    </w:lvl>
    <w:lvl w:ilvl="2">
      <w:start w:val="1"/>
      <w:numFmt w:val="decimal"/>
      <w:lvlText w:val="%1.%2.%3"/>
      <w:lvlJc w:val="left"/>
      <w:pPr>
        <w:ind w:left="1080" w:hanging="36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E77AD1"/>
    <w:multiLevelType w:val="multilevel"/>
    <w:tmpl w:val="0492B0AA"/>
    <w:lvl w:ilvl="0">
      <w:start w:val="1"/>
      <w:numFmt w:val="upperRoman"/>
      <w:pStyle w:val="Heading1"/>
      <w:lvlText w:val="Bab %1"/>
      <w:lvlJc w:val="center"/>
      <w:pPr>
        <w:tabs>
          <w:tab w:val="num" w:pos="7449"/>
        </w:tabs>
        <w:ind w:left="6803" w:hanging="143"/>
      </w:pPr>
      <w:rPr>
        <w:rFonts w:hint="default"/>
        <w:color w:val="auto"/>
        <w:sz w:val="28"/>
        <w:szCs w:val="28"/>
        <w:vertAlign w:val="baseline"/>
      </w:rPr>
    </w:lvl>
    <w:lvl w:ilvl="1">
      <w:start w:val="1"/>
      <w:numFmt w:val="decimal"/>
      <w:pStyle w:val="Heading2"/>
      <w:lvlText w:val="%1.%2"/>
      <w:lvlJc w:val="left"/>
      <w:pPr>
        <w:tabs>
          <w:tab w:val="num" w:pos="3818"/>
        </w:tabs>
        <w:ind w:left="3818" w:hanging="578"/>
      </w:pPr>
      <w:rPr>
        <w:rFonts w:hint="default"/>
        <w:sz w:val="24"/>
      </w:rPr>
    </w:lvl>
    <w:lvl w:ilvl="2">
      <w:start w:val="1"/>
      <w:numFmt w:val="decimal"/>
      <w:pStyle w:val="Heading3"/>
      <w:lvlText w:val="%1.%2.%3"/>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suff w:val="nothing"/>
      <w:lvlText w:val="%1.%2.%3.%4.%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B9C1EA1"/>
    <w:multiLevelType w:val="hybridMultilevel"/>
    <w:tmpl w:val="5A4C93CC"/>
    <w:lvl w:ilvl="0" w:tplc="9D16EDA2">
      <w:start w:val="1"/>
      <w:numFmt w:val="decimal"/>
      <w:lvlText w:val="%1."/>
      <w:lvlJc w:val="left"/>
      <w:pPr>
        <w:ind w:left="1227" w:hanging="72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7" w15:restartNumberingAfterBreak="0">
    <w:nsid w:val="6E527E8D"/>
    <w:multiLevelType w:val="hybridMultilevel"/>
    <w:tmpl w:val="42C2788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Arial"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Arial"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Arial"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71E37481"/>
    <w:multiLevelType w:val="hybridMultilevel"/>
    <w:tmpl w:val="5982517E"/>
    <w:lvl w:ilvl="0" w:tplc="41247BF8">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9" w15:restartNumberingAfterBreak="0">
    <w:nsid w:val="7A542EC5"/>
    <w:multiLevelType w:val="multilevel"/>
    <w:tmpl w:val="C99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244508">
    <w:abstractNumId w:val="9"/>
  </w:num>
  <w:num w:numId="2" w16cid:durableId="103967745">
    <w:abstractNumId w:val="7"/>
  </w:num>
  <w:num w:numId="3" w16cid:durableId="181476559">
    <w:abstractNumId w:val="5"/>
  </w:num>
  <w:num w:numId="4" w16cid:durableId="1974863987">
    <w:abstractNumId w:val="4"/>
  </w:num>
  <w:num w:numId="5" w16cid:durableId="1569653003">
    <w:abstractNumId w:val="2"/>
  </w:num>
  <w:num w:numId="6" w16cid:durableId="2101179230">
    <w:abstractNumId w:val="3"/>
  </w:num>
  <w:num w:numId="7" w16cid:durableId="353579576">
    <w:abstractNumId w:val="0"/>
  </w:num>
  <w:num w:numId="8" w16cid:durableId="1619986373">
    <w:abstractNumId w:val="6"/>
  </w:num>
  <w:num w:numId="9" w16cid:durableId="1317497153">
    <w:abstractNumId w:val="8"/>
  </w:num>
  <w:num w:numId="10" w16cid:durableId="129880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DF"/>
    <w:rsid w:val="00023BCA"/>
    <w:rsid w:val="00025220"/>
    <w:rsid w:val="00025CE6"/>
    <w:rsid w:val="000379FA"/>
    <w:rsid w:val="00051C0F"/>
    <w:rsid w:val="00055A07"/>
    <w:rsid w:val="000665D1"/>
    <w:rsid w:val="00087F23"/>
    <w:rsid w:val="00096085"/>
    <w:rsid w:val="000B416D"/>
    <w:rsid w:val="000B7375"/>
    <w:rsid w:val="000C0D65"/>
    <w:rsid w:val="000F1BF3"/>
    <w:rsid w:val="00103CA0"/>
    <w:rsid w:val="00160C92"/>
    <w:rsid w:val="0017588B"/>
    <w:rsid w:val="00182F40"/>
    <w:rsid w:val="00197F3C"/>
    <w:rsid w:val="001B5F3E"/>
    <w:rsid w:val="001D20A4"/>
    <w:rsid w:val="001E272A"/>
    <w:rsid w:val="001E3FAB"/>
    <w:rsid w:val="00201D2C"/>
    <w:rsid w:val="0023092D"/>
    <w:rsid w:val="00237343"/>
    <w:rsid w:val="00250770"/>
    <w:rsid w:val="00280C9D"/>
    <w:rsid w:val="00284A43"/>
    <w:rsid w:val="00286184"/>
    <w:rsid w:val="002B6250"/>
    <w:rsid w:val="002C47FD"/>
    <w:rsid w:val="002C6AD0"/>
    <w:rsid w:val="002D43AB"/>
    <w:rsid w:val="002E4C40"/>
    <w:rsid w:val="00315FCB"/>
    <w:rsid w:val="00335B70"/>
    <w:rsid w:val="00337216"/>
    <w:rsid w:val="00353B83"/>
    <w:rsid w:val="0036525D"/>
    <w:rsid w:val="00370DFB"/>
    <w:rsid w:val="00386735"/>
    <w:rsid w:val="00392CFF"/>
    <w:rsid w:val="003C22E5"/>
    <w:rsid w:val="003C6DE8"/>
    <w:rsid w:val="0042237D"/>
    <w:rsid w:val="00452353"/>
    <w:rsid w:val="004615C6"/>
    <w:rsid w:val="00480EE1"/>
    <w:rsid w:val="00486896"/>
    <w:rsid w:val="004B019D"/>
    <w:rsid w:val="004C0D97"/>
    <w:rsid w:val="004E211B"/>
    <w:rsid w:val="004E322B"/>
    <w:rsid w:val="005052D6"/>
    <w:rsid w:val="0053291C"/>
    <w:rsid w:val="00535B9B"/>
    <w:rsid w:val="00543385"/>
    <w:rsid w:val="00544E5F"/>
    <w:rsid w:val="0056281D"/>
    <w:rsid w:val="00591063"/>
    <w:rsid w:val="005A45AE"/>
    <w:rsid w:val="005E5301"/>
    <w:rsid w:val="005F11AB"/>
    <w:rsid w:val="00601C39"/>
    <w:rsid w:val="00624AAE"/>
    <w:rsid w:val="006422DA"/>
    <w:rsid w:val="006504D2"/>
    <w:rsid w:val="00660D67"/>
    <w:rsid w:val="00674FC3"/>
    <w:rsid w:val="00691D14"/>
    <w:rsid w:val="006C4CCC"/>
    <w:rsid w:val="006E7090"/>
    <w:rsid w:val="006F3D87"/>
    <w:rsid w:val="006F53DD"/>
    <w:rsid w:val="00712ED5"/>
    <w:rsid w:val="00723CCE"/>
    <w:rsid w:val="00725083"/>
    <w:rsid w:val="007346AA"/>
    <w:rsid w:val="00772B0D"/>
    <w:rsid w:val="00781EDF"/>
    <w:rsid w:val="007A41BC"/>
    <w:rsid w:val="007B2199"/>
    <w:rsid w:val="007C589B"/>
    <w:rsid w:val="007F75A9"/>
    <w:rsid w:val="007F7A81"/>
    <w:rsid w:val="00805D97"/>
    <w:rsid w:val="008245C5"/>
    <w:rsid w:val="00825D4D"/>
    <w:rsid w:val="00835351"/>
    <w:rsid w:val="00867BD3"/>
    <w:rsid w:val="008B1A5F"/>
    <w:rsid w:val="008B6837"/>
    <w:rsid w:val="008E39E3"/>
    <w:rsid w:val="00946A50"/>
    <w:rsid w:val="009540A5"/>
    <w:rsid w:val="009619A0"/>
    <w:rsid w:val="00961D5C"/>
    <w:rsid w:val="00987D2D"/>
    <w:rsid w:val="0099213E"/>
    <w:rsid w:val="009940CB"/>
    <w:rsid w:val="009A1198"/>
    <w:rsid w:val="009A2738"/>
    <w:rsid w:val="009A29A8"/>
    <w:rsid w:val="009B0B2C"/>
    <w:rsid w:val="009B0BE0"/>
    <w:rsid w:val="009B10AB"/>
    <w:rsid w:val="009C1AE3"/>
    <w:rsid w:val="009D3B2F"/>
    <w:rsid w:val="009D7C7A"/>
    <w:rsid w:val="009E2F8A"/>
    <w:rsid w:val="009F1E7C"/>
    <w:rsid w:val="009F3C97"/>
    <w:rsid w:val="00A163DE"/>
    <w:rsid w:val="00A73838"/>
    <w:rsid w:val="00A74CFB"/>
    <w:rsid w:val="00A81A6E"/>
    <w:rsid w:val="00A82ED7"/>
    <w:rsid w:val="00AB065E"/>
    <w:rsid w:val="00AB13F9"/>
    <w:rsid w:val="00AC5774"/>
    <w:rsid w:val="00B477F6"/>
    <w:rsid w:val="00B53472"/>
    <w:rsid w:val="00B96C51"/>
    <w:rsid w:val="00BA0BD9"/>
    <w:rsid w:val="00BC3CBD"/>
    <w:rsid w:val="00BC63B1"/>
    <w:rsid w:val="00BC7B47"/>
    <w:rsid w:val="00BF2DCF"/>
    <w:rsid w:val="00C217B7"/>
    <w:rsid w:val="00C235BB"/>
    <w:rsid w:val="00C25740"/>
    <w:rsid w:val="00C37A4F"/>
    <w:rsid w:val="00C55F31"/>
    <w:rsid w:val="00C6233B"/>
    <w:rsid w:val="00C65D27"/>
    <w:rsid w:val="00CA6FA0"/>
    <w:rsid w:val="00CB509C"/>
    <w:rsid w:val="00CD04F8"/>
    <w:rsid w:val="00CF750B"/>
    <w:rsid w:val="00D00AAE"/>
    <w:rsid w:val="00D22ABC"/>
    <w:rsid w:val="00D320E6"/>
    <w:rsid w:val="00D40634"/>
    <w:rsid w:val="00D553FC"/>
    <w:rsid w:val="00D83774"/>
    <w:rsid w:val="00DA1F8A"/>
    <w:rsid w:val="00DB23B8"/>
    <w:rsid w:val="00DB6FDE"/>
    <w:rsid w:val="00DD6268"/>
    <w:rsid w:val="00DF40C8"/>
    <w:rsid w:val="00E02AB2"/>
    <w:rsid w:val="00E055DB"/>
    <w:rsid w:val="00E24377"/>
    <w:rsid w:val="00E35EE4"/>
    <w:rsid w:val="00E45987"/>
    <w:rsid w:val="00E47152"/>
    <w:rsid w:val="00E64085"/>
    <w:rsid w:val="00E6463E"/>
    <w:rsid w:val="00EA0833"/>
    <w:rsid w:val="00EA6A53"/>
    <w:rsid w:val="00EC1FD3"/>
    <w:rsid w:val="00EF7DFA"/>
    <w:rsid w:val="00F00F98"/>
    <w:rsid w:val="00F11667"/>
    <w:rsid w:val="00F45348"/>
    <w:rsid w:val="00F6244D"/>
    <w:rsid w:val="00F64310"/>
    <w:rsid w:val="00F65AAF"/>
    <w:rsid w:val="00F77439"/>
    <w:rsid w:val="00F9288A"/>
    <w:rsid w:val="00FB1F3C"/>
    <w:rsid w:val="00FB757D"/>
    <w:rsid w:val="00F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816A0"/>
  <w15:chartTrackingRefBased/>
  <w15:docId w15:val="{BEFC66EF-A9F8-4572-8396-F4933F4C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1E3FAB"/>
    <w:pPr>
      <w:keepNext/>
      <w:numPr>
        <w:numId w:val="3"/>
      </w:numPr>
      <w:tabs>
        <w:tab w:val="clear" w:pos="7449"/>
        <w:tab w:val="num" w:pos="1077"/>
      </w:tabs>
      <w:spacing w:after="0" w:line="360" w:lineRule="auto"/>
      <w:ind w:left="431"/>
      <w:jc w:val="center"/>
      <w:outlineLvl w:val="0"/>
    </w:pPr>
    <w:rPr>
      <w:rFonts w:ascii="Times New Roman" w:eastAsia="Times New Roman" w:hAnsi="Times New Roman" w:cs="Times New Roman"/>
      <w:b/>
      <w:bCs/>
      <w:sz w:val="28"/>
      <w:szCs w:val="28"/>
      <w:lang w:val="en-GB"/>
    </w:rPr>
  </w:style>
  <w:style w:type="paragraph" w:styleId="Heading2">
    <w:name w:val="heading 2"/>
    <w:basedOn w:val="Normal"/>
    <w:next w:val="Normal"/>
    <w:link w:val="Heading2Char"/>
    <w:uiPriority w:val="9"/>
    <w:rsid w:val="001E3FAB"/>
    <w:pPr>
      <w:keepNext/>
      <w:numPr>
        <w:ilvl w:val="1"/>
        <w:numId w:val="3"/>
      </w:numPr>
      <w:spacing w:after="0" w:line="360" w:lineRule="auto"/>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rsid w:val="001E3FAB"/>
    <w:pPr>
      <w:keepNext/>
      <w:numPr>
        <w:ilvl w:val="2"/>
        <w:numId w:val="3"/>
      </w:numPr>
      <w:spacing w:after="0" w:line="360" w:lineRule="auto"/>
      <w:jc w:val="center"/>
      <w:outlineLvl w:val="2"/>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
    <w:qFormat/>
    <w:rsid w:val="001E3FAB"/>
    <w:pPr>
      <w:keepNext/>
      <w:numPr>
        <w:ilvl w:val="3"/>
        <w:numId w:val="3"/>
      </w:numPr>
      <w:spacing w:after="0" w:line="240" w:lineRule="auto"/>
      <w:jc w:val="center"/>
      <w:outlineLvl w:val="3"/>
    </w:pPr>
    <w:rPr>
      <w:rFonts w:ascii="Times New Roman" w:eastAsia="Times New Roman" w:hAnsi="Times New Roman" w:cs="Times New Roman"/>
      <w:sz w:val="28"/>
      <w:szCs w:val="24"/>
      <w:lang w:val="en-GB"/>
    </w:rPr>
  </w:style>
  <w:style w:type="paragraph" w:styleId="Heading5">
    <w:name w:val="heading 5"/>
    <w:basedOn w:val="Normal"/>
    <w:next w:val="Normal"/>
    <w:link w:val="Heading5Char"/>
    <w:uiPriority w:val="9"/>
    <w:rsid w:val="001E3FAB"/>
    <w:pPr>
      <w:keepNext/>
      <w:numPr>
        <w:ilvl w:val="4"/>
        <w:numId w:val="3"/>
      </w:numPr>
      <w:spacing w:after="0" w:line="240" w:lineRule="auto"/>
      <w:jc w:val="center"/>
      <w:outlineLvl w:val="4"/>
    </w:pPr>
    <w:rPr>
      <w:rFonts w:ascii="Times New Roman" w:eastAsia="Times New Roman" w:hAnsi="Times New Roman" w:cs="Times New Roman"/>
      <w:b/>
      <w:bCs/>
      <w:sz w:val="28"/>
      <w:szCs w:val="24"/>
      <w:lang w:val="en-GB"/>
    </w:rPr>
  </w:style>
  <w:style w:type="paragraph" w:styleId="Heading6">
    <w:name w:val="heading 6"/>
    <w:basedOn w:val="Normal"/>
    <w:next w:val="Normal"/>
    <w:link w:val="Heading6Char"/>
    <w:rsid w:val="001E3FAB"/>
    <w:pPr>
      <w:numPr>
        <w:ilvl w:val="5"/>
        <w:numId w:val="3"/>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rsid w:val="001E3FAB"/>
    <w:pPr>
      <w:numPr>
        <w:ilvl w:val="6"/>
        <w:numId w:val="3"/>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rsid w:val="001E3FAB"/>
    <w:pPr>
      <w:numPr>
        <w:ilvl w:val="7"/>
        <w:numId w:val="3"/>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rsid w:val="001E3FAB"/>
    <w:pPr>
      <w:numPr>
        <w:ilvl w:val="8"/>
        <w:numId w:val="3"/>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EDF"/>
    <w:rPr>
      <w:color w:val="0563C1" w:themeColor="hyperlink"/>
      <w:u w:val="single"/>
    </w:rPr>
  </w:style>
  <w:style w:type="character" w:customStyle="1" w:styleId="hps">
    <w:name w:val="hps"/>
    <w:basedOn w:val="DefaultParagraphFont"/>
    <w:rsid w:val="00781EDF"/>
  </w:style>
  <w:style w:type="paragraph" w:styleId="NoSpacing">
    <w:name w:val="No Spacing"/>
    <w:uiPriority w:val="1"/>
    <w:qFormat/>
    <w:rsid w:val="00781EDF"/>
    <w:pPr>
      <w:spacing w:after="0" w:line="240" w:lineRule="auto"/>
    </w:pPr>
    <w:rPr>
      <w:lang w:val="id-ID"/>
    </w:rPr>
  </w:style>
  <w:style w:type="paragraph" w:styleId="HTMLPreformatted">
    <w:name w:val="HTML Preformatted"/>
    <w:basedOn w:val="Normal"/>
    <w:link w:val="HTMLPreformattedChar"/>
    <w:uiPriority w:val="99"/>
    <w:unhideWhenUsed/>
    <w:rsid w:val="0078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1EDF"/>
    <w:rPr>
      <w:rFonts w:ascii="Courier New" w:eastAsia="Times New Roman" w:hAnsi="Courier New" w:cs="Courier New"/>
      <w:sz w:val="20"/>
      <w:szCs w:val="20"/>
    </w:rPr>
  </w:style>
  <w:style w:type="character" w:customStyle="1" w:styleId="tlid-translationtranslation">
    <w:name w:val="tlid-translation translation"/>
    <w:basedOn w:val="DefaultParagraphFont"/>
    <w:rsid w:val="00781EDF"/>
  </w:style>
  <w:style w:type="paragraph" w:styleId="Header">
    <w:name w:val="header"/>
    <w:basedOn w:val="Normal"/>
    <w:link w:val="HeaderChar"/>
    <w:uiPriority w:val="99"/>
    <w:unhideWhenUsed/>
    <w:rsid w:val="00DD6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268"/>
  </w:style>
  <w:style w:type="paragraph" w:styleId="Footer">
    <w:name w:val="footer"/>
    <w:basedOn w:val="Normal"/>
    <w:link w:val="FooterChar"/>
    <w:uiPriority w:val="99"/>
    <w:unhideWhenUsed/>
    <w:qFormat/>
    <w:rsid w:val="00DD626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D6268"/>
  </w:style>
  <w:style w:type="character" w:styleId="UnresolvedMention">
    <w:name w:val="Unresolved Mention"/>
    <w:basedOn w:val="DefaultParagraphFont"/>
    <w:uiPriority w:val="99"/>
    <w:semiHidden/>
    <w:unhideWhenUsed/>
    <w:rsid w:val="00F6244D"/>
    <w:rPr>
      <w:color w:val="605E5C"/>
      <w:shd w:val="clear" w:color="auto" w:fill="E1DFDD"/>
    </w:rPr>
  </w:style>
  <w:style w:type="character" w:customStyle="1" w:styleId="Heading1Char">
    <w:name w:val="Heading 1 Char"/>
    <w:basedOn w:val="DefaultParagraphFont"/>
    <w:link w:val="Heading1"/>
    <w:uiPriority w:val="9"/>
    <w:rsid w:val="001E3FAB"/>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1E3FAB"/>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rsid w:val="001E3FAB"/>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9"/>
    <w:rsid w:val="001E3FAB"/>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
    <w:rsid w:val="001E3FAB"/>
    <w:rPr>
      <w:rFonts w:ascii="Times New Roman" w:eastAsia="Times New Roman" w:hAnsi="Times New Roman" w:cs="Times New Roman"/>
      <w:b/>
      <w:bCs/>
      <w:sz w:val="28"/>
      <w:szCs w:val="24"/>
      <w:lang w:val="en-GB"/>
    </w:rPr>
  </w:style>
  <w:style w:type="character" w:customStyle="1" w:styleId="Heading6Char">
    <w:name w:val="Heading 6 Char"/>
    <w:basedOn w:val="DefaultParagraphFont"/>
    <w:link w:val="Heading6"/>
    <w:rsid w:val="001E3FA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E3FA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E3FA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E3FAB"/>
    <w:rPr>
      <w:rFonts w:ascii="Arial" w:eastAsia="Times New Roman" w:hAnsi="Arial" w:cs="Arial"/>
      <w:lang w:val="en-GB"/>
    </w:rPr>
  </w:style>
  <w:style w:type="paragraph" w:customStyle="1" w:styleId="JudulBab">
    <w:name w:val="Judul Bab"/>
    <w:link w:val="JudulBabChar"/>
    <w:qFormat/>
    <w:rsid w:val="001E3FAB"/>
    <w:pPr>
      <w:spacing w:after="0" w:line="240" w:lineRule="auto"/>
      <w:jc w:val="center"/>
    </w:pPr>
    <w:rPr>
      <w:rFonts w:ascii="Times New Roman" w:hAnsi="Times New Roman"/>
      <w:b/>
      <w:sz w:val="28"/>
    </w:rPr>
  </w:style>
  <w:style w:type="character" w:customStyle="1" w:styleId="JudulBabChar">
    <w:name w:val="Judul Bab Char"/>
    <w:basedOn w:val="DefaultParagraphFont"/>
    <w:link w:val="JudulBab"/>
    <w:rsid w:val="001E3FAB"/>
    <w:rPr>
      <w:rFonts w:ascii="Times New Roman" w:hAnsi="Times New Roman"/>
      <w:b/>
      <w:sz w:val="28"/>
    </w:rPr>
  </w:style>
  <w:style w:type="paragraph" w:customStyle="1" w:styleId="judulBab15">
    <w:name w:val="judul Bab 1.5"/>
    <w:basedOn w:val="JudulBab"/>
    <w:qFormat/>
    <w:rsid w:val="001E3FAB"/>
    <w:pPr>
      <w:numPr>
        <w:numId w:val="4"/>
      </w:numPr>
      <w:tabs>
        <w:tab w:val="num" w:pos="360"/>
      </w:tabs>
      <w:spacing w:line="360" w:lineRule="auto"/>
      <w:ind w:left="0" w:firstLine="0"/>
    </w:pPr>
  </w:style>
  <w:style w:type="paragraph" w:customStyle="1" w:styleId="Judulbabsub1">
    <w:name w:val="Judul bab sub1"/>
    <w:link w:val="Judulbabsub1Char"/>
    <w:qFormat/>
    <w:rsid w:val="001E3FAB"/>
    <w:pPr>
      <w:numPr>
        <w:ilvl w:val="1"/>
        <w:numId w:val="4"/>
      </w:numPr>
    </w:pPr>
    <w:rPr>
      <w:rFonts w:ascii="Times New Roman" w:hAnsi="Times New Roman"/>
      <w:b/>
      <w:sz w:val="24"/>
      <w:lang w:val="en-GB"/>
    </w:rPr>
  </w:style>
  <w:style w:type="character" w:customStyle="1" w:styleId="Judulbabsub1Char">
    <w:name w:val="Judul bab sub1 Char"/>
    <w:basedOn w:val="DefaultParagraphFont"/>
    <w:link w:val="Judulbabsub1"/>
    <w:rsid w:val="001E3FAB"/>
    <w:rPr>
      <w:rFonts w:ascii="Times New Roman" w:hAnsi="Times New Roman"/>
      <w:b/>
      <w:sz w:val="24"/>
      <w:lang w:val="en-GB"/>
    </w:rPr>
  </w:style>
  <w:style w:type="paragraph" w:styleId="ListParagraph">
    <w:name w:val="List Paragraph"/>
    <w:basedOn w:val="Normal"/>
    <w:uiPriority w:val="34"/>
    <w:qFormat/>
    <w:rsid w:val="001E3FAB"/>
    <w:pPr>
      <w:ind w:left="720"/>
      <w:contextualSpacing/>
    </w:pPr>
  </w:style>
  <w:style w:type="character" w:styleId="Strong">
    <w:name w:val="Strong"/>
    <w:basedOn w:val="DefaultParagraphFont"/>
    <w:uiPriority w:val="22"/>
    <w:qFormat/>
    <w:rsid w:val="001E3FAB"/>
    <w:rPr>
      <w:b/>
      <w:bCs/>
    </w:rPr>
  </w:style>
  <w:style w:type="character" w:customStyle="1" w:styleId="res">
    <w:name w:val="res"/>
    <w:basedOn w:val="DefaultParagraphFont"/>
    <w:rsid w:val="001E3FAB"/>
  </w:style>
  <w:style w:type="character" w:customStyle="1" w:styleId="resbox">
    <w:name w:val="resbox"/>
    <w:basedOn w:val="DefaultParagraphFont"/>
    <w:rsid w:val="001E3FAB"/>
  </w:style>
  <w:style w:type="paragraph" w:customStyle="1" w:styleId="keterangan">
    <w:name w:val="keterangan"/>
    <w:link w:val="keteranganChar"/>
    <w:qFormat/>
    <w:rsid w:val="00CB509C"/>
    <w:pPr>
      <w:spacing w:after="0" w:line="360" w:lineRule="auto"/>
      <w:jc w:val="both"/>
    </w:pPr>
    <w:rPr>
      <w:rFonts w:ascii="Times New Roman" w:hAnsi="Times New Roman"/>
      <w:color w:val="808080" w:themeColor="background1" w:themeShade="80"/>
      <w:sz w:val="24"/>
    </w:rPr>
  </w:style>
  <w:style w:type="character" w:customStyle="1" w:styleId="keteranganChar">
    <w:name w:val="keterangan Char"/>
    <w:basedOn w:val="DefaultParagraphFont"/>
    <w:link w:val="keterangan"/>
    <w:rsid w:val="00CB509C"/>
    <w:rPr>
      <w:rFonts w:ascii="Times New Roman" w:hAnsi="Times New Roman"/>
      <w:color w:val="808080" w:themeColor="background1" w:themeShade="80"/>
      <w:sz w:val="24"/>
    </w:rPr>
  </w:style>
  <w:style w:type="paragraph" w:styleId="NormalWeb">
    <w:name w:val="Normal (Web)"/>
    <w:basedOn w:val="Normal"/>
    <w:uiPriority w:val="99"/>
    <w:semiHidden/>
    <w:unhideWhenUsed/>
    <w:rsid w:val="00335B70"/>
    <w:rPr>
      <w:rFonts w:ascii="Times New Roman" w:hAnsi="Times New Roman" w:cs="Times New Roman"/>
      <w:sz w:val="24"/>
      <w:szCs w:val="24"/>
    </w:rPr>
  </w:style>
  <w:style w:type="table" w:styleId="PlainTable2">
    <w:name w:val="Plain Table 2"/>
    <w:basedOn w:val="TableNormal"/>
    <w:uiPriority w:val="42"/>
    <w:rsid w:val="00E02A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045">
      <w:bodyDiv w:val="1"/>
      <w:marLeft w:val="0"/>
      <w:marRight w:val="0"/>
      <w:marTop w:val="0"/>
      <w:marBottom w:val="0"/>
      <w:divBdr>
        <w:top w:val="none" w:sz="0" w:space="0" w:color="auto"/>
        <w:left w:val="none" w:sz="0" w:space="0" w:color="auto"/>
        <w:bottom w:val="none" w:sz="0" w:space="0" w:color="auto"/>
        <w:right w:val="none" w:sz="0" w:space="0" w:color="auto"/>
      </w:divBdr>
    </w:div>
    <w:div w:id="34235967">
      <w:bodyDiv w:val="1"/>
      <w:marLeft w:val="0"/>
      <w:marRight w:val="0"/>
      <w:marTop w:val="0"/>
      <w:marBottom w:val="0"/>
      <w:divBdr>
        <w:top w:val="none" w:sz="0" w:space="0" w:color="auto"/>
        <w:left w:val="none" w:sz="0" w:space="0" w:color="auto"/>
        <w:bottom w:val="none" w:sz="0" w:space="0" w:color="auto"/>
        <w:right w:val="none" w:sz="0" w:space="0" w:color="auto"/>
      </w:divBdr>
    </w:div>
    <w:div w:id="69694638">
      <w:bodyDiv w:val="1"/>
      <w:marLeft w:val="0"/>
      <w:marRight w:val="0"/>
      <w:marTop w:val="0"/>
      <w:marBottom w:val="0"/>
      <w:divBdr>
        <w:top w:val="none" w:sz="0" w:space="0" w:color="auto"/>
        <w:left w:val="none" w:sz="0" w:space="0" w:color="auto"/>
        <w:bottom w:val="none" w:sz="0" w:space="0" w:color="auto"/>
        <w:right w:val="none" w:sz="0" w:space="0" w:color="auto"/>
      </w:divBdr>
    </w:div>
    <w:div w:id="189072617">
      <w:bodyDiv w:val="1"/>
      <w:marLeft w:val="0"/>
      <w:marRight w:val="0"/>
      <w:marTop w:val="0"/>
      <w:marBottom w:val="0"/>
      <w:divBdr>
        <w:top w:val="none" w:sz="0" w:space="0" w:color="auto"/>
        <w:left w:val="none" w:sz="0" w:space="0" w:color="auto"/>
        <w:bottom w:val="none" w:sz="0" w:space="0" w:color="auto"/>
        <w:right w:val="none" w:sz="0" w:space="0" w:color="auto"/>
      </w:divBdr>
    </w:div>
    <w:div w:id="190458176">
      <w:bodyDiv w:val="1"/>
      <w:marLeft w:val="0"/>
      <w:marRight w:val="0"/>
      <w:marTop w:val="0"/>
      <w:marBottom w:val="0"/>
      <w:divBdr>
        <w:top w:val="none" w:sz="0" w:space="0" w:color="auto"/>
        <w:left w:val="none" w:sz="0" w:space="0" w:color="auto"/>
        <w:bottom w:val="none" w:sz="0" w:space="0" w:color="auto"/>
        <w:right w:val="none" w:sz="0" w:space="0" w:color="auto"/>
      </w:divBdr>
      <w:divsChild>
        <w:div w:id="800609723">
          <w:marLeft w:val="0"/>
          <w:marRight w:val="0"/>
          <w:marTop w:val="0"/>
          <w:marBottom w:val="0"/>
          <w:divBdr>
            <w:top w:val="none" w:sz="0" w:space="0" w:color="auto"/>
            <w:left w:val="none" w:sz="0" w:space="0" w:color="auto"/>
            <w:bottom w:val="none" w:sz="0" w:space="0" w:color="auto"/>
            <w:right w:val="none" w:sz="0" w:space="0" w:color="auto"/>
          </w:divBdr>
          <w:divsChild>
            <w:div w:id="55276817">
              <w:marLeft w:val="0"/>
              <w:marRight w:val="0"/>
              <w:marTop w:val="0"/>
              <w:marBottom w:val="0"/>
              <w:divBdr>
                <w:top w:val="none" w:sz="0" w:space="0" w:color="auto"/>
                <w:left w:val="none" w:sz="0" w:space="0" w:color="auto"/>
                <w:bottom w:val="none" w:sz="0" w:space="0" w:color="auto"/>
                <w:right w:val="none" w:sz="0" w:space="0" w:color="auto"/>
              </w:divBdr>
              <w:divsChild>
                <w:div w:id="21899647">
                  <w:marLeft w:val="0"/>
                  <w:marRight w:val="0"/>
                  <w:marTop w:val="0"/>
                  <w:marBottom w:val="0"/>
                  <w:divBdr>
                    <w:top w:val="none" w:sz="0" w:space="0" w:color="auto"/>
                    <w:left w:val="none" w:sz="0" w:space="0" w:color="auto"/>
                    <w:bottom w:val="none" w:sz="0" w:space="0" w:color="auto"/>
                    <w:right w:val="none" w:sz="0" w:space="0" w:color="auto"/>
                  </w:divBdr>
                  <w:divsChild>
                    <w:div w:id="1240017249">
                      <w:marLeft w:val="0"/>
                      <w:marRight w:val="0"/>
                      <w:marTop w:val="0"/>
                      <w:marBottom w:val="0"/>
                      <w:divBdr>
                        <w:top w:val="none" w:sz="0" w:space="0" w:color="auto"/>
                        <w:left w:val="none" w:sz="0" w:space="0" w:color="auto"/>
                        <w:bottom w:val="none" w:sz="0" w:space="0" w:color="auto"/>
                        <w:right w:val="none" w:sz="0" w:space="0" w:color="auto"/>
                      </w:divBdr>
                      <w:divsChild>
                        <w:div w:id="16930003">
                          <w:marLeft w:val="0"/>
                          <w:marRight w:val="0"/>
                          <w:marTop w:val="0"/>
                          <w:marBottom w:val="0"/>
                          <w:divBdr>
                            <w:top w:val="none" w:sz="0" w:space="0" w:color="auto"/>
                            <w:left w:val="none" w:sz="0" w:space="0" w:color="auto"/>
                            <w:bottom w:val="none" w:sz="0" w:space="0" w:color="auto"/>
                            <w:right w:val="none" w:sz="0" w:space="0" w:color="auto"/>
                          </w:divBdr>
                          <w:divsChild>
                            <w:div w:id="1998267708">
                              <w:marLeft w:val="0"/>
                              <w:marRight w:val="0"/>
                              <w:marTop w:val="0"/>
                              <w:marBottom w:val="0"/>
                              <w:divBdr>
                                <w:top w:val="none" w:sz="0" w:space="0" w:color="auto"/>
                                <w:left w:val="none" w:sz="0" w:space="0" w:color="auto"/>
                                <w:bottom w:val="none" w:sz="0" w:space="0" w:color="auto"/>
                                <w:right w:val="none" w:sz="0" w:space="0" w:color="auto"/>
                              </w:divBdr>
                              <w:divsChild>
                                <w:div w:id="1322932483">
                                  <w:marLeft w:val="0"/>
                                  <w:marRight w:val="0"/>
                                  <w:marTop w:val="0"/>
                                  <w:marBottom w:val="0"/>
                                  <w:divBdr>
                                    <w:top w:val="none" w:sz="0" w:space="0" w:color="auto"/>
                                    <w:left w:val="none" w:sz="0" w:space="0" w:color="auto"/>
                                    <w:bottom w:val="none" w:sz="0" w:space="0" w:color="auto"/>
                                    <w:right w:val="none" w:sz="0" w:space="0" w:color="auto"/>
                                  </w:divBdr>
                                  <w:divsChild>
                                    <w:div w:id="1992903237">
                                      <w:marLeft w:val="0"/>
                                      <w:marRight w:val="0"/>
                                      <w:marTop w:val="0"/>
                                      <w:marBottom w:val="0"/>
                                      <w:divBdr>
                                        <w:top w:val="none" w:sz="0" w:space="0" w:color="auto"/>
                                        <w:left w:val="none" w:sz="0" w:space="0" w:color="auto"/>
                                        <w:bottom w:val="none" w:sz="0" w:space="0" w:color="auto"/>
                                        <w:right w:val="none" w:sz="0" w:space="0" w:color="auto"/>
                                      </w:divBdr>
                                      <w:divsChild>
                                        <w:div w:id="1859612546">
                                          <w:marLeft w:val="0"/>
                                          <w:marRight w:val="0"/>
                                          <w:marTop w:val="0"/>
                                          <w:marBottom w:val="0"/>
                                          <w:divBdr>
                                            <w:top w:val="none" w:sz="0" w:space="0" w:color="auto"/>
                                            <w:left w:val="none" w:sz="0" w:space="0" w:color="auto"/>
                                            <w:bottom w:val="none" w:sz="0" w:space="0" w:color="auto"/>
                                            <w:right w:val="none" w:sz="0" w:space="0" w:color="auto"/>
                                          </w:divBdr>
                                          <w:divsChild>
                                            <w:div w:id="108084638">
                                              <w:marLeft w:val="0"/>
                                              <w:marRight w:val="0"/>
                                              <w:marTop w:val="0"/>
                                              <w:marBottom w:val="0"/>
                                              <w:divBdr>
                                                <w:top w:val="none" w:sz="0" w:space="0" w:color="auto"/>
                                                <w:left w:val="none" w:sz="0" w:space="0" w:color="auto"/>
                                                <w:bottom w:val="none" w:sz="0" w:space="0" w:color="auto"/>
                                                <w:right w:val="none" w:sz="0" w:space="0" w:color="auto"/>
                                              </w:divBdr>
                                              <w:divsChild>
                                                <w:div w:id="850265565">
                                                  <w:marLeft w:val="0"/>
                                                  <w:marRight w:val="0"/>
                                                  <w:marTop w:val="0"/>
                                                  <w:marBottom w:val="0"/>
                                                  <w:divBdr>
                                                    <w:top w:val="none" w:sz="0" w:space="0" w:color="auto"/>
                                                    <w:left w:val="none" w:sz="0" w:space="0" w:color="auto"/>
                                                    <w:bottom w:val="none" w:sz="0" w:space="0" w:color="auto"/>
                                                    <w:right w:val="none" w:sz="0" w:space="0" w:color="auto"/>
                                                  </w:divBdr>
                                                  <w:divsChild>
                                                    <w:div w:id="819420258">
                                                      <w:marLeft w:val="0"/>
                                                      <w:marRight w:val="0"/>
                                                      <w:marTop w:val="0"/>
                                                      <w:marBottom w:val="0"/>
                                                      <w:divBdr>
                                                        <w:top w:val="none" w:sz="0" w:space="0" w:color="auto"/>
                                                        <w:left w:val="none" w:sz="0" w:space="0" w:color="auto"/>
                                                        <w:bottom w:val="none" w:sz="0" w:space="0" w:color="auto"/>
                                                        <w:right w:val="none" w:sz="0" w:space="0" w:color="auto"/>
                                                      </w:divBdr>
                                                      <w:divsChild>
                                                        <w:div w:id="17854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28555">
      <w:bodyDiv w:val="1"/>
      <w:marLeft w:val="0"/>
      <w:marRight w:val="0"/>
      <w:marTop w:val="0"/>
      <w:marBottom w:val="0"/>
      <w:divBdr>
        <w:top w:val="none" w:sz="0" w:space="0" w:color="auto"/>
        <w:left w:val="none" w:sz="0" w:space="0" w:color="auto"/>
        <w:bottom w:val="none" w:sz="0" w:space="0" w:color="auto"/>
        <w:right w:val="none" w:sz="0" w:space="0" w:color="auto"/>
      </w:divBdr>
    </w:div>
    <w:div w:id="279145594">
      <w:bodyDiv w:val="1"/>
      <w:marLeft w:val="0"/>
      <w:marRight w:val="0"/>
      <w:marTop w:val="0"/>
      <w:marBottom w:val="0"/>
      <w:divBdr>
        <w:top w:val="none" w:sz="0" w:space="0" w:color="auto"/>
        <w:left w:val="none" w:sz="0" w:space="0" w:color="auto"/>
        <w:bottom w:val="none" w:sz="0" w:space="0" w:color="auto"/>
        <w:right w:val="none" w:sz="0" w:space="0" w:color="auto"/>
      </w:divBdr>
    </w:div>
    <w:div w:id="282659267">
      <w:bodyDiv w:val="1"/>
      <w:marLeft w:val="0"/>
      <w:marRight w:val="0"/>
      <w:marTop w:val="0"/>
      <w:marBottom w:val="0"/>
      <w:divBdr>
        <w:top w:val="none" w:sz="0" w:space="0" w:color="auto"/>
        <w:left w:val="none" w:sz="0" w:space="0" w:color="auto"/>
        <w:bottom w:val="none" w:sz="0" w:space="0" w:color="auto"/>
        <w:right w:val="none" w:sz="0" w:space="0" w:color="auto"/>
      </w:divBdr>
    </w:div>
    <w:div w:id="338310149">
      <w:bodyDiv w:val="1"/>
      <w:marLeft w:val="0"/>
      <w:marRight w:val="0"/>
      <w:marTop w:val="0"/>
      <w:marBottom w:val="0"/>
      <w:divBdr>
        <w:top w:val="none" w:sz="0" w:space="0" w:color="auto"/>
        <w:left w:val="none" w:sz="0" w:space="0" w:color="auto"/>
        <w:bottom w:val="none" w:sz="0" w:space="0" w:color="auto"/>
        <w:right w:val="none" w:sz="0" w:space="0" w:color="auto"/>
      </w:divBdr>
    </w:div>
    <w:div w:id="398284961">
      <w:bodyDiv w:val="1"/>
      <w:marLeft w:val="0"/>
      <w:marRight w:val="0"/>
      <w:marTop w:val="0"/>
      <w:marBottom w:val="0"/>
      <w:divBdr>
        <w:top w:val="none" w:sz="0" w:space="0" w:color="auto"/>
        <w:left w:val="none" w:sz="0" w:space="0" w:color="auto"/>
        <w:bottom w:val="none" w:sz="0" w:space="0" w:color="auto"/>
        <w:right w:val="none" w:sz="0" w:space="0" w:color="auto"/>
      </w:divBdr>
    </w:div>
    <w:div w:id="485631993">
      <w:bodyDiv w:val="1"/>
      <w:marLeft w:val="0"/>
      <w:marRight w:val="0"/>
      <w:marTop w:val="0"/>
      <w:marBottom w:val="0"/>
      <w:divBdr>
        <w:top w:val="none" w:sz="0" w:space="0" w:color="auto"/>
        <w:left w:val="none" w:sz="0" w:space="0" w:color="auto"/>
        <w:bottom w:val="none" w:sz="0" w:space="0" w:color="auto"/>
        <w:right w:val="none" w:sz="0" w:space="0" w:color="auto"/>
      </w:divBdr>
    </w:div>
    <w:div w:id="499664306">
      <w:bodyDiv w:val="1"/>
      <w:marLeft w:val="0"/>
      <w:marRight w:val="0"/>
      <w:marTop w:val="0"/>
      <w:marBottom w:val="0"/>
      <w:divBdr>
        <w:top w:val="none" w:sz="0" w:space="0" w:color="auto"/>
        <w:left w:val="none" w:sz="0" w:space="0" w:color="auto"/>
        <w:bottom w:val="none" w:sz="0" w:space="0" w:color="auto"/>
        <w:right w:val="none" w:sz="0" w:space="0" w:color="auto"/>
      </w:divBdr>
    </w:div>
    <w:div w:id="550118573">
      <w:bodyDiv w:val="1"/>
      <w:marLeft w:val="0"/>
      <w:marRight w:val="0"/>
      <w:marTop w:val="0"/>
      <w:marBottom w:val="0"/>
      <w:divBdr>
        <w:top w:val="none" w:sz="0" w:space="0" w:color="auto"/>
        <w:left w:val="none" w:sz="0" w:space="0" w:color="auto"/>
        <w:bottom w:val="none" w:sz="0" w:space="0" w:color="auto"/>
        <w:right w:val="none" w:sz="0" w:space="0" w:color="auto"/>
      </w:divBdr>
    </w:div>
    <w:div w:id="628629229">
      <w:bodyDiv w:val="1"/>
      <w:marLeft w:val="0"/>
      <w:marRight w:val="0"/>
      <w:marTop w:val="0"/>
      <w:marBottom w:val="0"/>
      <w:divBdr>
        <w:top w:val="none" w:sz="0" w:space="0" w:color="auto"/>
        <w:left w:val="none" w:sz="0" w:space="0" w:color="auto"/>
        <w:bottom w:val="none" w:sz="0" w:space="0" w:color="auto"/>
        <w:right w:val="none" w:sz="0" w:space="0" w:color="auto"/>
      </w:divBdr>
    </w:div>
    <w:div w:id="633294741">
      <w:bodyDiv w:val="1"/>
      <w:marLeft w:val="0"/>
      <w:marRight w:val="0"/>
      <w:marTop w:val="0"/>
      <w:marBottom w:val="0"/>
      <w:divBdr>
        <w:top w:val="none" w:sz="0" w:space="0" w:color="auto"/>
        <w:left w:val="none" w:sz="0" w:space="0" w:color="auto"/>
        <w:bottom w:val="none" w:sz="0" w:space="0" w:color="auto"/>
        <w:right w:val="none" w:sz="0" w:space="0" w:color="auto"/>
      </w:divBdr>
    </w:div>
    <w:div w:id="689643143">
      <w:bodyDiv w:val="1"/>
      <w:marLeft w:val="0"/>
      <w:marRight w:val="0"/>
      <w:marTop w:val="0"/>
      <w:marBottom w:val="0"/>
      <w:divBdr>
        <w:top w:val="none" w:sz="0" w:space="0" w:color="auto"/>
        <w:left w:val="none" w:sz="0" w:space="0" w:color="auto"/>
        <w:bottom w:val="none" w:sz="0" w:space="0" w:color="auto"/>
        <w:right w:val="none" w:sz="0" w:space="0" w:color="auto"/>
      </w:divBdr>
    </w:div>
    <w:div w:id="708803409">
      <w:bodyDiv w:val="1"/>
      <w:marLeft w:val="0"/>
      <w:marRight w:val="0"/>
      <w:marTop w:val="0"/>
      <w:marBottom w:val="0"/>
      <w:divBdr>
        <w:top w:val="none" w:sz="0" w:space="0" w:color="auto"/>
        <w:left w:val="none" w:sz="0" w:space="0" w:color="auto"/>
        <w:bottom w:val="none" w:sz="0" w:space="0" w:color="auto"/>
        <w:right w:val="none" w:sz="0" w:space="0" w:color="auto"/>
      </w:divBdr>
      <w:divsChild>
        <w:div w:id="1839998219">
          <w:marLeft w:val="0"/>
          <w:marRight w:val="0"/>
          <w:marTop w:val="0"/>
          <w:marBottom w:val="0"/>
          <w:divBdr>
            <w:top w:val="none" w:sz="0" w:space="0" w:color="auto"/>
            <w:left w:val="none" w:sz="0" w:space="0" w:color="auto"/>
            <w:bottom w:val="none" w:sz="0" w:space="0" w:color="auto"/>
            <w:right w:val="none" w:sz="0" w:space="0" w:color="auto"/>
          </w:divBdr>
          <w:divsChild>
            <w:div w:id="306011933">
              <w:marLeft w:val="0"/>
              <w:marRight w:val="0"/>
              <w:marTop w:val="0"/>
              <w:marBottom w:val="0"/>
              <w:divBdr>
                <w:top w:val="none" w:sz="0" w:space="0" w:color="auto"/>
                <w:left w:val="none" w:sz="0" w:space="0" w:color="auto"/>
                <w:bottom w:val="none" w:sz="0" w:space="0" w:color="auto"/>
                <w:right w:val="none" w:sz="0" w:space="0" w:color="auto"/>
              </w:divBdr>
              <w:divsChild>
                <w:div w:id="961687702">
                  <w:marLeft w:val="0"/>
                  <w:marRight w:val="0"/>
                  <w:marTop w:val="0"/>
                  <w:marBottom w:val="0"/>
                  <w:divBdr>
                    <w:top w:val="none" w:sz="0" w:space="0" w:color="auto"/>
                    <w:left w:val="none" w:sz="0" w:space="0" w:color="auto"/>
                    <w:bottom w:val="none" w:sz="0" w:space="0" w:color="auto"/>
                    <w:right w:val="none" w:sz="0" w:space="0" w:color="auto"/>
                  </w:divBdr>
                  <w:divsChild>
                    <w:div w:id="342904849">
                      <w:marLeft w:val="0"/>
                      <w:marRight w:val="0"/>
                      <w:marTop w:val="0"/>
                      <w:marBottom w:val="0"/>
                      <w:divBdr>
                        <w:top w:val="none" w:sz="0" w:space="0" w:color="auto"/>
                        <w:left w:val="none" w:sz="0" w:space="0" w:color="auto"/>
                        <w:bottom w:val="none" w:sz="0" w:space="0" w:color="auto"/>
                        <w:right w:val="none" w:sz="0" w:space="0" w:color="auto"/>
                      </w:divBdr>
                      <w:divsChild>
                        <w:div w:id="391274043">
                          <w:marLeft w:val="0"/>
                          <w:marRight w:val="0"/>
                          <w:marTop w:val="0"/>
                          <w:marBottom w:val="0"/>
                          <w:divBdr>
                            <w:top w:val="none" w:sz="0" w:space="0" w:color="auto"/>
                            <w:left w:val="none" w:sz="0" w:space="0" w:color="auto"/>
                            <w:bottom w:val="none" w:sz="0" w:space="0" w:color="auto"/>
                            <w:right w:val="none" w:sz="0" w:space="0" w:color="auto"/>
                          </w:divBdr>
                          <w:divsChild>
                            <w:div w:id="801459609">
                              <w:marLeft w:val="0"/>
                              <w:marRight w:val="0"/>
                              <w:marTop w:val="0"/>
                              <w:marBottom w:val="0"/>
                              <w:divBdr>
                                <w:top w:val="none" w:sz="0" w:space="0" w:color="auto"/>
                                <w:left w:val="none" w:sz="0" w:space="0" w:color="auto"/>
                                <w:bottom w:val="none" w:sz="0" w:space="0" w:color="auto"/>
                                <w:right w:val="none" w:sz="0" w:space="0" w:color="auto"/>
                              </w:divBdr>
                              <w:divsChild>
                                <w:div w:id="1287470536">
                                  <w:marLeft w:val="0"/>
                                  <w:marRight w:val="0"/>
                                  <w:marTop w:val="0"/>
                                  <w:marBottom w:val="0"/>
                                  <w:divBdr>
                                    <w:top w:val="none" w:sz="0" w:space="0" w:color="auto"/>
                                    <w:left w:val="none" w:sz="0" w:space="0" w:color="auto"/>
                                    <w:bottom w:val="none" w:sz="0" w:space="0" w:color="auto"/>
                                    <w:right w:val="none" w:sz="0" w:space="0" w:color="auto"/>
                                  </w:divBdr>
                                  <w:divsChild>
                                    <w:div w:id="1157918560">
                                      <w:marLeft w:val="0"/>
                                      <w:marRight w:val="0"/>
                                      <w:marTop w:val="0"/>
                                      <w:marBottom w:val="0"/>
                                      <w:divBdr>
                                        <w:top w:val="none" w:sz="0" w:space="0" w:color="auto"/>
                                        <w:left w:val="none" w:sz="0" w:space="0" w:color="auto"/>
                                        <w:bottom w:val="none" w:sz="0" w:space="0" w:color="auto"/>
                                        <w:right w:val="none" w:sz="0" w:space="0" w:color="auto"/>
                                      </w:divBdr>
                                      <w:divsChild>
                                        <w:div w:id="254704997">
                                          <w:marLeft w:val="0"/>
                                          <w:marRight w:val="0"/>
                                          <w:marTop w:val="0"/>
                                          <w:marBottom w:val="0"/>
                                          <w:divBdr>
                                            <w:top w:val="none" w:sz="0" w:space="0" w:color="auto"/>
                                            <w:left w:val="none" w:sz="0" w:space="0" w:color="auto"/>
                                            <w:bottom w:val="none" w:sz="0" w:space="0" w:color="auto"/>
                                            <w:right w:val="none" w:sz="0" w:space="0" w:color="auto"/>
                                          </w:divBdr>
                                          <w:divsChild>
                                            <w:div w:id="788471227">
                                              <w:marLeft w:val="0"/>
                                              <w:marRight w:val="0"/>
                                              <w:marTop w:val="0"/>
                                              <w:marBottom w:val="0"/>
                                              <w:divBdr>
                                                <w:top w:val="none" w:sz="0" w:space="0" w:color="auto"/>
                                                <w:left w:val="none" w:sz="0" w:space="0" w:color="auto"/>
                                                <w:bottom w:val="none" w:sz="0" w:space="0" w:color="auto"/>
                                                <w:right w:val="none" w:sz="0" w:space="0" w:color="auto"/>
                                              </w:divBdr>
                                              <w:divsChild>
                                                <w:div w:id="877008432">
                                                  <w:marLeft w:val="0"/>
                                                  <w:marRight w:val="0"/>
                                                  <w:marTop w:val="0"/>
                                                  <w:marBottom w:val="0"/>
                                                  <w:divBdr>
                                                    <w:top w:val="none" w:sz="0" w:space="0" w:color="auto"/>
                                                    <w:left w:val="none" w:sz="0" w:space="0" w:color="auto"/>
                                                    <w:bottom w:val="none" w:sz="0" w:space="0" w:color="auto"/>
                                                    <w:right w:val="none" w:sz="0" w:space="0" w:color="auto"/>
                                                  </w:divBdr>
                                                  <w:divsChild>
                                                    <w:div w:id="1438796830">
                                                      <w:marLeft w:val="0"/>
                                                      <w:marRight w:val="0"/>
                                                      <w:marTop w:val="0"/>
                                                      <w:marBottom w:val="0"/>
                                                      <w:divBdr>
                                                        <w:top w:val="none" w:sz="0" w:space="0" w:color="auto"/>
                                                        <w:left w:val="none" w:sz="0" w:space="0" w:color="auto"/>
                                                        <w:bottom w:val="none" w:sz="0" w:space="0" w:color="auto"/>
                                                        <w:right w:val="none" w:sz="0" w:space="0" w:color="auto"/>
                                                      </w:divBdr>
                                                      <w:divsChild>
                                                        <w:div w:id="13195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078405">
      <w:bodyDiv w:val="1"/>
      <w:marLeft w:val="0"/>
      <w:marRight w:val="0"/>
      <w:marTop w:val="0"/>
      <w:marBottom w:val="0"/>
      <w:divBdr>
        <w:top w:val="none" w:sz="0" w:space="0" w:color="auto"/>
        <w:left w:val="none" w:sz="0" w:space="0" w:color="auto"/>
        <w:bottom w:val="none" w:sz="0" w:space="0" w:color="auto"/>
        <w:right w:val="none" w:sz="0" w:space="0" w:color="auto"/>
      </w:divBdr>
    </w:div>
    <w:div w:id="859703144">
      <w:bodyDiv w:val="1"/>
      <w:marLeft w:val="0"/>
      <w:marRight w:val="0"/>
      <w:marTop w:val="0"/>
      <w:marBottom w:val="0"/>
      <w:divBdr>
        <w:top w:val="none" w:sz="0" w:space="0" w:color="auto"/>
        <w:left w:val="none" w:sz="0" w:space="0" w:color="auto"/>
        <w:bottom w:val="none" w:sz="0" w:space="0" w:color="auto"/>
        <w:right w:val="none" w:sz="0" w:space="0" w:color="auto"/>
      </w:divBdr>
    </w:div>
    <w:div w:id="878472923">
      <w:bodyDiv w:val="1"/>
      <w:marLeft w:val="0"/>
      <w:marRight w:val="0"/>
      <w:marTop w:val="0"/>
      <w:marBottom w:val="0"/>
      <w:divBdr>
        <w:top w:val="none" w:sz="0" w:space="0" w:color="auto"/>
        <w:left w:val="none" w:sz="0" w:space="0" w:color="auto"/>
        <w:bottom w:val="none" w:sz="0" w:space="0" w:color="auto"/>
        <w:right w:val="none" w:sz="0" w:space="0" w:color="auto"/>
      </w:divBdr>
    </w:div>
    <w:div w:id="898787251">
      <w:bodyDiv w:val="1"/>
      <w:marLeft w:val="0"/>
      <w:marRight w:val="0"/>
      <w:marTop w:val="0"/>
      <w:marBottom w:val="0"/>
      <w:divBdr>
        <w:top w:val="none" w:sz="0" w:space="0" w:color="auto"/>
        <w:left w:val="none" w:sz="0" w:space="0" w:color="auto"/>
        <w:bottom w:val="none" w:sz="0" w:space="0" w:color="auto"/>
        <w:right w:val="none" w:sz="0" w:space="0" w:color="auto"/>
      </w:divBdr>
    </w:div>
    <w:div w:id="929853361">
      <w:bodyDiv w:val="1"/>
      <w:marLeft w:val="0"/>
      <w:marRight w:val="0"/>
      <w:marTop w:val="0"/>
      <w:marBottom w:val="0"/>
      <w:divBdr>
        <w:top w:val="none" w:sz="0" w:space="0" w:color="auto"/>
        <w:left w:val="none" w:sz="0" w:space="0" w:color="auto"/>
        <w:bottom w:val="none" w:sz="0" w:space="0" w:color="auto"/>
        <w:right w:val="none" w:sz="0" w:space="0" w:color="auto"/>
      </w:divBdr>
    </w:div>
    <w:div w:id="1041898780">
      <w:bodyDiv w:val="1"/>
      <w:marLeft w:val="0"/>
      <w:marRight w:val="0"/>
      <w:marTop w:val="0"/>
      <w:marBottom w:val="0"/>
      <w:divBdr>
        <w:top w:val="none" w:sz="0" w:space="0" w:color="auto"/>
        <w:left w:val="none" w:sz="0" w:space="0" w:color="auto"/>
        <w:bottom w:val="none" w:sz="0" w:space="0" w:color="auto"/>
        <w:right w:val="none" w:sz="0" w:space="0" w:color="auto"/>
      </w:divBdr>
    </w:div>
    <w:div w:id="1067454654">
      <w:bodyDiv w:val="1"/>
      <w:marLeft w:val="0"/>
      <w:marRight w:val="0"/>
      <w:marTop w:val="0"/>
      <w:marBottom w:val="0"/>
      <w:divBdr>
        <w:top w:val="none" w:sz="0" w:space="0" w:color="auto"/>
        <w:left w:val="none" w:sz="0" w:space="0" w:color="auto"/>
        <w:bottom w:val="none" w:sz="0" w:space="0" w:color="auto"/>
        <w:right w:val="none" w:sz="0" w:space="0" w:color="auto"/>
      </w:divBdr>
    </w:div>
    <w:div w:id="1082875990">
      <w:bodyDiv w:val="1"/>
      <w:marLeft w:val="0"/>
      <w:marRight w:val="0"/>
      <w:marTop w:val="0"/>
      <w:marBottom w:val="0"/>
      <w:divBdr>
        <w:top w:val="none" w:sz="0" w:space="0" w:color="auto"/>
        <w:left w:val="none" w:sz="0" w:space="0" w:color="auto"/>
        <w:bottom w:val="none" w:sz="0" w:space="0" w:color="auto"/>
        <w:right w:val="none" w:sz="0" w:space="0" w:color="auto"/>
      </w:divBdr>
    </w:div>
    <w:div w:id="1150052795">
      <w:bodyDiv w:val="1"/>
      <w:marLeft w:val="0"/>
      <w:marRight w:val="0"/>
      <w:marTop w:val="0"/>
      <w:marBottom w:val="0"/>
      <w:divBdr>
        <w:top w:val="none" w:sz="0" w:space="0" w:color="auto"/>
        <w:left w:val="none" w:sz="0" w:space="0" w:color="auto"/>
        <w:bottom w:val="none" w:sz="0" w:space="0" w:color="auto"/>
        <w:right w:val="none" w:sz="0" w:space="0" w:color="auto"/>
      </w:divBdr>
    </w:div>
    <w:div w:id="1165586698">
      <w:bodyDiv w:val="1"/>
      <w:marLeft w:val="0"/>
      <w:marRight w:val="0"/>
      <w:marTop w:val="0"/>
      <w:marBottom w:val="0"/>
      <w:divBdr>
        <w:top w:val="none" w:sz="0" w:space="0" w:color="auto"/>
        <w:left w:val="none" w:sz="0" w:space="0" w:color="auto"/>
        <w:bottom w:val="none" w:sz="0" w:space="0" w:color="auto"/>
        <w:right w:val="none" w:sz="0" w:space="0" w:color="auto"/>
      </w:divBdr>
    </w:div>
    <w:div w:id="1447500918">
      <w:bodyDiv w:val="1"/>
      <w:marLeft w:val="0"/>
      <w:marRight w:val="0"/>
      <w:marTop w:val="0"/>
      <w:marBottom w:val="0"/>
      <w:divBdr>
        <w:top w:val="none" w:sz="0" w:space="0" w:color="auto"/>
        <w:left w:val="none" w:sz="0" w:space="0" w:color="auto"/>
        <w:bottom w:val="none" w:sz="0" w:space="0" w:color="auto"/>
        <w:right w:val="none" w:sz="0" w:space="0" w:color="auto"/>
      </w:divBdr>
    </w:div>
    <w:div w:id="1482380121">
      <w:bodyDiv w:val="1"/>
      <w:marLeft w:val="0"/>
      <w:marRight w:val="0"/>
      <w:marTop w:val="0"/>
      <w:marBottom w:val="0"/>
      <w:divBdr>
        <w:top w:val="none" w:sz="0" w:space="0" w:color="auto"/>
        <w:left w:val="none" w:sz="0" w:space="0" w:color="auto"/>
        <w:bottom w:val="none" w:sz="0" w:space="0" w:color="auto"/>
        <w:right w:val="none" w:sz="0" w:space="0" w:color="auto"/>
      </w:divBdr>
    </w:div>
    <w:div w:id="1495103203">
      <w:bodyDiv w:val="1"/>
      <w:marLeft w:val="0"/>
      <w:marRight w:val="0"/>
      <w:marTop w:val="0"/>
      <w:marBottom w:val="0"/>
      <w:divBdr>
        <w:top w:val="none" w:sz="0" w:space="0" w:color="auto"/>
        <w:left w:val="none" w:sz="0" w:space="0" w:color="auto"/>
        <w:bottom w:val="none" w:sz="0" w:space="0" w:color="auto"/>
        <w:right w:val="none" w:sz="0" w:space="0" w:color="auto"/>
      </w:divBdr>
    </w:div>
    <w:div w:id="1546944286">
      <w:bodyDiv w:val="1"/>
      <w:marLeft w:val="0"/>
      <w:marRight w:val="0"/>
      <w:marTop w:val="0"/>
      <w:marBottom w:val="0"/>
      <w:divBdr>
        <w:top w:val="none" w:sz="0" w:space="0" w:color="auto"/>
        <w:left w:val="none" w:sz="0" w:space="0" w:color="auto"/>
        <w:bottom w:val="none" w:sz="0" w:space="0" w:color="auto"/>
        <w:right w:val="none" w:sz="0" w:space="0" w:color="auto"/>
      </w:divBdr>
    </w:div>
    <w:div w:id="1575772357">
      <w:bodyDiv w:val="1"/>
      <w:marLeft w:val="0"/>
      <w:marRight w:val="0"/>
      <w:marTop w:val="0"/>
      <w:marBottom w:val="0"/>
      <w:divBdr>
        <w:top w:val="none" w:sz="0" w:space="0" w:color="auto"/>
        <w:left w:val="none" w:sz="0" w:space="0" w:color="auto"/>
        <w:bottom w:val="none" w:sz="0" w:space="0" w:color="auto"/>
        <w:right w:val="none" w:sz="0" w:space="0" w:color="auto"/>
      </w:divBdr>
    </w:div>
    <w:div w:id="1649505830">
      <w:bodyDiv w:val="1"/>
      <w:marLeft w:val="0"/>
      <w:marRight w:val="0"/>
      <w:marTop w:val="0"/>
      <w:marBottom w:val="0"/>
      <w:divBdr>
        <w:top w:val="none" w:sz="0" w:space="0" w:color="auto"/>
        <w:left w:val="none" w:sz="0" w:space="0" w:color="auto"/>
        <w:bottom w:val="none" w:sz="0" w:space="0" w:color="auto"/>
        <w:right w:val="none" w:sz="0" w:space="0" w:color="auto"/>
      </w:divBdr>
    </w:div>
    <w:div w:id="1760059577">
      <w:bodyDiv w:val="1"/>
      <w:marLeft w:val="0"/>
      <w:marRight w:val="0"/>
      <w:marTop w:val="0"/>
      <w:marBottom w:val="0"/>
      <w:divBdr>
        <w:top w:val="none" w:sz="0" w:space="0" w:color="auto"/>
        <w:left w:val="none" w:sz="0" w:space="0" w:color="auto"/>
        <w:bottom w:val="none" w:sz="0" w:space="0" w:color="auto"/>
        <w:right w:val="none" w:sz="0" w:space="0" w:color="auto"/>
      </w:divBdr>
    </w:div>
    <w:div w:id="1781607286">
      <w:bodyDiv w:val="1"/>
      <w:marLeft w:val="0"/>
      <w:marRight w:val="0"/>
      <w:marTop w:val="0"/>
      <w:marBottom w:val="0"/>
      <w:divBdr>
        <w:top w:val="none" w:sz="0" w:space="0" w:color="auto"/>
        <w:left w:val="none" w:sz="0" w:space="0" w:color="auto"/>
        <w:bottom w:val="none" w:sz="0" w:space="0" w:color="auto"/>
        <w:right w:val="none" w:sz="0" w:space="0" w:color="auto"/>
      </w:divBdr>
    </w:div>
    <w:div w:id="1846705687">
      <w:bodyDiv w:val="1"/>
      <w:marLeft w:val="0"/>
      <w:marRight w:val="0"/>
      <w:marTop w:val="0"/>
      <w:marBottom w:val="0"/>
      <w:divBdr>
        <w:top w:val="none" w:sz="0" w:space="0" w:color="auto"/>
        <w:left w:val="none" w:sz="0" w:space="0" w:color="auto"/>
        <w:bottom w:val="none" w:sz="0" w:space="0" w:color="auto"/>
        <w:right w:val="none" w:sz="0" w:space="0" w:color="auto"/>
      </w:divBdr>
    </w:div>
    <w:div w:id="1885830785">
      <w:bodyDiv w:val="1"/>
      <w:marLeft w:val="0"/>
      <w:marRight w:val="0"/>
      <w:marTop w:val="0"/>
      <w:marBottom w:val="0"/>
      <w:divBdr>
        <w:top w:val="none" w:sz="0" w:space="0" w:color="auto"/>
        <w:left w:val="none" w:sz="0" w:space="0" w:color="auto"/>
        <w:bottom w:val="none" w:sz="0" w:space="0" w:color="auto"/>
        <w:right w:val="none" w:sz="0" w:space="0" w:color="auto"/>
      </w:divBdr>
    </w:div>
    <w:div w:id="2005356569">
      <w:bodyDiv w:val="1"/>
      <w:marLeft w:val="0"/>
      <w:marRight w:val="0"/>
      <w:marTop w:val="0"/>
      <w:marBottom w:val="0"/>
      <w:divBdr>
        <w:top w:val="none" w:sz="0" w:space="0" w:color="auto"/>
        <w:left w:val="none" w:sz="0" w:space="0" w:color="auto"/>
        <w:bottom w:val="none" w:sz="0" w:space="0" w:color="auto"/>
        <w:right w:val="none" w:sz="0" w:space="0" w:color="auto"/>
      </w:divBdr>
    </w:div>
    <w:div w:id="2035379903">
      <w:bodyDiv w:val="1"/>
      <w:marLeft w:val="0"/>
      <w:marRight w:val="0"/>
      <w:marTop w:val="0"/>
      <w:marBottom w:val="0"/>
      <w:divBdr>
        <w:top w:val="none" w:sz="0" w:space="0" w:color="auto"/>
        <w:left w:val="none" w:sz="0" w:space="0" w:color="auto"/>
        <w:bottom w:val="none" w:sz="0" w:space="0" w:color="auto"/>
        <w:right w:val="none" w:sz="0" w:space="0" w:color="auto"/>
      </w:divBdr>
    </w:div>
    <w:div w:id="20530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ijpe.2012.03.03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ejor.2007.01.00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263-7863(96)00039-7" TargetMode="External"/><Relationship Id="rId5" Type="http://schemas.openxmlformats.org/officeDocument/2006/relationships/webSettings" Target="webSettings.xml"/><Relationship Id="rId15" Type="http://schemas.openxmlformats.org/officeDocument/2006/relationships/hyperlink" Target="https://doi.org/10.1108/BEPAM-03-2017-0023" TargetMode="External"/><Relationship Id="rId23" Type="http://schemas.openxmlformats.org/officeDocument/2006/relationships/theme" Target="theme/theme1.xml"/><Relationship Id="rId10" Type="http://schemas.openxmlformats.org/officeDocument/2006/relationships/hyperlink" Target="https://doi.org/10.1061/(ASCE)0733-9364(1992)118:3(5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5623599.2017.1321577"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equatorscience.com/index.php/jabte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equatorscience.com/index.php/jabter" TargetMode="External"/><Relationship Id="rId2" Type="http://schemas.openxmlformats.org/officeDocument/2006/relationships/hyperlink" Target="https://equatorscience.com/index.php/jabter"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THESIS\issue_Maezurra%20Indota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r>
              <a:rPr lang="id-ID" sz="800" b="1"/>
              <a:t>DISTRIBUTION AND GROWTH OF GDP </a:t>
            </a:r>
            <a:endParaRPr lang="en-US" sz="800" b="1"/>
          </a:p>
          <a:p>
            <a:pPr>
              <a:defRPr/>
            </a:pPr>
            <a:r>
              <a:rPr lang="id-ID" sz="800" b="1"/>
              <a:t>BY FIELD OF BUSINESS</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dk1">
                <a:tint val="88500"/>
              </a:schemeClr>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541C-A841-9A57-86004AED596C}"/>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Sheet1!$I$17:$I$21</c:f>
              <c:strCache>
                <c:ptCount val="5"/>
                <c:pt idx="0">
                  <c:v>Mining</c:v>
                </c:pt>
                <c:pt idx="1">
                  <c:v>Construction</c:v>
                </c:pt>
                <c:pt idx="2">
                  <c:v>Agriculture</c:v>
                </c:pt>
                <c:pt idx="3">
                  <c:v>Wholesale</c:v>
                </c:pt>
                <c:pt idx="4">
                  <c:v>Manufacturing</c:v>
                </c:pt>
              </c:strCache>
            </c:strRef>
          </c:cat>
          <c:val>
            <c:numRef>
              <c:f>Sheet1!$J$17:$J$21</c:f>
              <c:numCache>
                <c:formatCode>0.00%</c:formatCode>
                <c:ptCount val="5"/>
                <c:pt idx="0">
                  <c:v>9.3399999999999997E-2</c:v>
                </c:pt>
                <c:pt idx="1">
                  <c:v>0.1023</c:v>
                </c:pt>
                <c:pt idx="2">
                  <c:v>0.11609999999999999</c:v>
                </c:pt>
                <c:pt idx="3">
                  <c:v>0.13150000000000001</c:v>
                </c:pt>
                <c:pt idx="4">
                  <c:v>0.1928</c:v>
                </c:pt>
              </c:numCache>
            </c:numRef>
          </c:val>
          <c:extLst>
            <c:ext xmlns:c16="http://schemas.microsoft.com/office/drawing/2014/chart" uri="{C3380CC4-5D6E-409C-BE32-E72D297353CC}">
              <c16:uniqueId val="{00000002-541C-A841-9A57-86004AED596C}"/>
            </c:ext>
          </c:extLst>
        </c:ser>
        <c:dLbls>
          <c:dLblPos val="inEnd"/>
          <c:showLegendKey val="0"/>
          <c:showVal val="1"/>
          <c:showCatName val="0"/>
          <c:showSerName val="0"/>
          <c:showPercent val="0"/>
          <c:showBubbleSize val="0"/>
        </c:dLbls>
        <c:gapWidth val="182"/>
        <c:axId val="646400479"/>
        <c:axId val="646387519"/>
      </c:barChart>
      <c:catAx>
        <c:axId val="646400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646387519"/>
        <c:crosses val="autoZero"/>
        <c:auto val="1"/>
        <c:lblAlgn val="ctr"/>
        <c:lblOffset val="100"/>
        <c:noMultiLvlLbl val="0"/>
      </c:catAx>
      <c:valAx>
        <c:axId val="646387519"/>
        <c:scaling>
          <c:orientation val="minMax"/>
        </c:scaling>
        <c:delete val="0"/>
        <c:axPos val="b"/>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64640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8FF5-EC9C-46B4-A9FE-076581C5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Dabella Yunia</dc:creator>
  <cp:keywords/>
  <dc:description/>
  <cp:lastModifiedBy>dabella</cp:lastModifiedBy>
  <cp:revision>5</cp:revision>
  <dcterms:created xsi:type="dcterms:W3CDTF">2024-12-17T16:06:00Z</dcterms:created>
  <dcterms:modified xsi:type="dcterms:W3CDTF">2024-12-31T05:34:00Z</dcterms:modified>
</cp:coreProperties>
</file>